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spacing w:before="120" w:beforeAutospacing="0" w:after="120" w:afterAutospacing="0" w:line="36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779"/>
        <w:jc w:val="center"/>
        <w:spacing w:before="120" w:beforeAutospacing="0" w:after="120" w:afterAutospacing="0" w:line="360" w:lineRule="auto"/>
        <w:rPr>
          <w:rFonts w:ascii="宋体" w:hAnsi="宋体" w:eastAsia="宋体" w:cs="宋体"/>
          <w:highlight w:val="none"/>
        </w:rPr>
      </w:pPr>
      <w:r>
        <w:rPr>
          <w:rFonts w:hint="eastAsia" w:ascii="宋体" w:hAnsi="宋体" w:eastAsia="宋体" w:cs="宋体"/>
          <w:b/>
          <w:color w:val="000000"/>
          <w:sz w:val="84"/>
          <w:szCs w:val="84"/>
          <w:highlight w:val="none"/>
        </w:rPr>
        <w:t xml:space="preserve">招 标 文 件</w:t>
      </w:r>
      <w:r>
        <w:rPr>
          <w:rFonts w:ascii="宋体" w:hAnsi="宋体" w:eastAsia="宋体" w:cs="宋体"/>
          <w:highlight w:val="none"/>
        </w:rPr>
      </w:r>
      <w:r/>
    </w:p>
    <w:p>
      <w:pPr>
        <w:pStyle w:val="779"/>
        <w:spacing w:before="120" w:beforeAutospacing="0" w:after="120" w:afterAutospacing="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spacing w:before="120" w:beforeAutospacing="0" w:after="120" w:afterAutospacing="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spacing w:before="120" w:beforeAutospacing="0" w:after="120" w:afterAutospacing="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spacing w:before="120" w:beforeAutospacing="0" w:after="120" w:afterAutospacing="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spacing w:before="120" w:beforeAutospacing="0" w:after="120" w:afterAutospacing="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项目名称：盐城市区地下管线信息管理系统升级及数据</w:t>
      </w: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shd w:val="clear" w:color="auto" w:fill="ffffff"/>
        </w:rPr>
      </w:pPr>
      <w:r>
        <w:rPr>
          <w:rFonts w:hint="eastAsia" w:ascii="宋体" w:hAnsi="宋体" w:eastAsia="宋体" w:cs="宋体"/>
          <w:b/>
          <w:color w:val="000000"/>
          <w:sz w:val="32"/>
          <w:szCs w:val="32"/>
          <w:highlight w:val="none"/>
        </w:rPr>
        <w:t xml:space="preserve">治理采集</w:t>
      </w:r>
      <w:r>
        <w:rPr>
          <w:rFonts w:hint="eastAsia" w:ascii="宋体" w:hAnsi="宋体" w:eastAsia="宋体" w:cs="宋体"/>
          <w:b/>
          <w:color w:val="000000"/>
          <w:sz w:val="32"/>
          <w:szCs w:val="32"/>
          <w:highlight w:val="none"/>
          <w:shd w:val="clear" w:color="auto" w:fill="ffffff"/>
        </w:rPr>
        <w:t xml:space="preserve">项目</w:t>
      </w:r>
      <w:r>
        <w:rPr>
          <w:rFonts w:hint="eastAsia" w:ascii="宋体" w:hAnsi="宋体" w:eastAsia="宋体" w:cs="宋体"/>
          <w:b/>
          <w:color w:val="000000"/>
          <w:sz w:val="32"/>
          <w:szCs w:val="32"/>
          <w:highlight w:val="none"/>
          <w:shd w:val="clear" w:color="auto" w:fill="ffffff"/>
        </w:rPr>
      </w:r>
      <w:r/>
    </w:p>
    <w:p>
      <w:pPr>
        <w:pStyle w:val="779"/>
        <w:jc w:val="center"/>
        <w:spacing w:beforeAutospacing="0" w:afterAutospacing="0"/>
        <w:rPr>
          <w:rFonts w:hint="eastAsia" w:ascii="宋体" w:hAnsi="宋体" w:eastAsia="宋体" w:cs="宋体"/>
          <w:b/>
          <w:color w:val="000000"/>
          <w:sz w:val="32"/>
          <w:szCs w:val="32"/>
          <w:highlight w:val="none"/>
          <w:shd w:val="clear" w:color="auto" w:fill="ffffff"/>
        </w:rPr>
      </w:pPr>
      <w:r>
        <w:rPr>
          <w:rFonts w:hint="eastAsia" w:ascii="宋体" w:hAnsi="宋体" w:eastAsia="宋体" w:cs="宋体"/>
          <w:b/>
          <w:color w:val="000000"/>
          <w:sz w:val="32"/>
          <w:szCs w:val="32"/>
          <w:highlight w:val="none"/>
          <w:shd w:val="clear" w:color="auto" w:fill="ffffff"/>
        </w:rPr>
      </w:r>
      <w:r/>
    </w:p>
    <w:p>
      <w:pPr>
        <w:pStyle w:val="779"/>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rPr>
        <w:t xml:space="preserve">JSZC-320900-JZCG-G2025-0036</w:t>
      </w:r>
      <w:r>
        <w:rPr>
          <w:rFonts w:hint="eastAsia" w:ascii="宋体" w:hAnsi="宋体" w:eastAsia="宋体" w:cs="宋体"/>
          <w:b/>
          <w:color w:val="000000"/>
          <w:sz w:val="32"/>
          <w:szCs w:val="32"/>
          <w:highlight w:val="none"/>
        </w:rPr>
      </w:r>
      <w:r/>
    </w:p>
    <w:p>
      <w:pPr>
        <w:pStyle w:val="779"/>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120" w:beforeAutospacing="0" w:after="120" w:afterAutospacing="0" w:line="360" w:lineRule="auto"/>
        <w:rPr>
          <w:rFonts w:hint="eastAsia" w:ascii="宋体" w:hAnsi="宋体" w:eastAsia="宋体" w:cs="宋体"/>
          <w:b/>
          <w:color w:val="000000"/>
          <w:sz w:val="32"/>
          <w:szCs w:val="32"/>
          <w:highlight w:val="none"/>
          <w:shd w:val="clear" w:color="auto" w:fill="ffffff"/>
        </w:rPr>
      </w:pPr>
      <w:r>
        <w:rPr>
          <w:rFonts w:hint="eastAsia" w:ascii="宋体" w:hAnsi="宋体" w:eastAsia="宋体" w:cs="宋体"/>
          <w:b/>
          <w:color w:val="000000"/>
          <w:sz w:val="32"/>
          <w:szCs w:val="32"/>
          <w:highlight w:val="none"/>
          <w:shd w:val="clear" w:color="auto" w:fill="ffffff"/>
        </w:rPr>
        <w:t xml:space="preserve">盐城市自然资源和规划局</w:t>
      </w:r>
      <w:r>
        <w:rPr>
          <w:rFonts w:hint="eastAsia" w:ascii="宋体" w:hAnsi="宋体" w:eastAsia="宋体" w:cs="宋体"/>
          <w:b/>
          <w:color w:val="000000"/>
          <w:sz w:val="32"/>
          <w:szCs w:val="32"/>
          <w:highlight w:val="none"/>
          <w:shd w:val="clear" w:color="auto" w:fill="ffffff"/>
        </w:rPr>
      </w:r>
      <w:r/>
    </w:p>
    <w:p>
      <w:pPr>
        <w:pStyle w:val="779"/>
        <w:jc w:val="center"/>
        <w:spacing w:before="120" w:beforeAutospacing="0" w:after="120" w:afterAutospacing="0" w:line="360" w:lineRule="auto"/>
        <w:rPr>
          <w:rFonts w:ascii="宋体" w:hAnsi="宋体" w:eastAsia="宋体" w:cs="宋体"/>
          <w:highlight w:val="none"/>
        </w:rPr>
      </w:pPr>
      <w:r>
        <w:rPr>
          <w:rFonts w:hint="eastAsia" w:ascii="宋体" w:hAnsi="宋体" w:eastAsia="宋体" w:cs="宋体"/>
          <w:b/>
          <w:color w:val="000000"/>
          <w:sz w:val="32"/>
          <w:szCs w:val="32"/>
          <w:highlight w:val="none"/>
        </w:rPr>
        <w:t xml:space="preserve">2025年</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t xml:space="preserve">12</w:t>
      </w:r>
      <w:r>
        <w:rPr>
          <w:rFonts w:hint="eastAsia" w:ascii="宋体" w:hAnsi="宋体" w:eastAsia="宋体" w:cs="宋体"/>
          <w:b/>
          <w:color w:val="000000"/>
          <w:sz w:val="32"/>
          <w:szCs w:val="32"/>
          <w:highlight w:val="none"/>
        </w:rPr>
        <w:t xml:space="preserve">月</w:t>
      </w:r>
      <w:r>
        <w:rPr>
          <w:rFonts w:ascii="宋体" w:hAnsi="宋体" w:eastAsia="宋体" w:cs="宋体"/>
          <w:highlight w:val="none"/>
        </w:rPr>
      </w:r>
      <w:r/>
    </w:p>
    <w:p>
      <w:pPr>
        <w:pStyle w:val="779"/>
        <w:jc w:val="center"/>
        <w:spacing w:beforeAutospacing="0" w:afterAutospacing="0" w:line="480" w:lineRule="auto"/>
        <w:rPr>
          <w:rFonts w:hint="eastAsia" w:ascii="宋体" w:hAnsi="宋体" w:eastAsia="宋体" w:cs="宋体"/>
          <w:bCs/>
          <w:sz w:val="44"/>
          <w:highlight w:val="none"/>
        </w:rPr>
      </w:pPr>
      <w:r>
        <w:rPr>
          <w:rFonts w:hint="eastAsia" w:ascii="宋体" w:hAnsi="宋体" w:eastAsia="宋体" w:cs="宋体"/>
          <w:bCs/>
          <w:sz w:val="44"/>
          <w:highlight w:val="none"/>
        </w:rPr>
      </w:r>
      <w:r/>
    </w:p>
    <w:p>
      <w:pPr>
        <w:pStyle w:val="779"/>
        <w:jc w:val="center"/>
        <w:spacing w:beforeAutospacing="0" w:afterAutospacing="0" w:line="480" w:lineRule="auto"/>
        <w:rPr>
          <w:rFonts w:ascii="宋体" w:hAnsi="宋体" w:eastAsia="宋体" w:cs="宋体"/>
          <w:bCs/>
          <w:sz w:val="36"/>
          <w:szCs w:val="36"/>
          <w:highlight w:val="none"/>
        </w:rPr>
      </w:pPr>
      <w:r>
        <w:rPr>
          <w:rFonts w:hint="eastAsia" w:ascii="宋体" w:hAnsi="宋体" w:eastAsia="宋体" w:cs="宋体"/>
          <w:bCs/>
          <w:sz w:val="44"/>
          <w:highlight w:val="none"/>
        </w:rPr>
        <w:t xml:space="preserve">总  目  录</w:t>
      </w:r>
      <w:r>
        <w:rPr>
          <w:rFonts w:ascii="宋体" w:hAnsi="宋体" w:eastAsia="宋体" w:cs="宋体"/>
          <w:bCs/>
          <w:sz w:val="36"/>
          <w:szCs w:val="36"/>
          <w:highlight w:val="none"/>
        </w:rPr>
      </w:r>
      <w:r/>
    </w:p>
    <w:p>
      <w:pPr>
        <w:pStyle w:val="737"/>
        <w:spacing w:line="360" w:lineRule="auto"/>
        <w:rPr>
          <w:rFonts w:ascii="宋体" w:hAnsi="宋体" w:eastAsia="宋体" w:cs="宋体"/>
          <w:b/>
          <w:sz w:val="28"/>
          <w:highlight w:val="none"/>
        </w:rPr>
      </w:pPr>
      <w:r>
        <w:rPr>
          <w:rFonts w:ascii="宋体" w:hAnsi="宋体" w:eastAsia="宋体" w:cs="宋体"/>
          <w:b/>
          <w:sz w:val="28"/>
          <w:highlight w:val="none"/>
        </w:rPr>
      </w:r>
      <w:r/>
    </w:p>
    <w:p>
      <w:pPr>
        <w:pStyle w:val="779"/>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第一章  招标公告………………………………3 </w:t>
      </w:r>
      <w:r>
        <w:rPr>
          <w:highlight w:val="none"/>
        </w:rPr>
      </w:r>
      <w:r/>
    </w:p>
    <w:p>
      <w:pPr>
        <w:pStyle w:val="779"/>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第二章  投标人须知……………………………7 </w:t>
      </w:r>
      <w:r>
        <w:rPr>
          <w:highlight w:val="none"/>
        </w:rPr>
      </w:r>
      <w:r/>
    </w:p>
    <w:p>
      <w:pPr>
        <w:pStyle w:val="779"/>
        <w:jc w:val="both"/>
        <w:spacing w:beforeAutospacing="0" w:afterAutospacing="0" w:line="480" w:lineRule="auto"/>
        <w:tabs>
          <w:tab w:val="left" w:pos="1441" w:leader="none"/>
        </w:tabs>
        <w:rPr>
          <w:rFonts w:eastAsia="黑体"/>
          <w:highlight w:val="none"/>
        </w:rPr>
      </w:pPr>
      <w:r>
        <w:rPr>
          <w:rFonts w:hint="eastAsia" w:ascii="黑体" w:hAnsi="宋体" w:eastAsia="黑体" w:cs="黑体"/>
          <w:color w:val="000000"/>
          <w:sz w:val="36"/>
          <w:szCs w:val="36"/>
          <w:highlight w:val="none"/>
        </w:rPr>
        <w:t xml:space="preserve">第三章  合同条款………………………………16</w:t>
      </w:r>
      <w:r>
        <w:rPr>
          <w:rFonts w:eastAsia="黑体"/>
          <w:highlight w:val="none"/>
        </w:rPr>
      </w:r>
      <w:r/>
    </w:p>
    <w:p>
      <w:pPr>
        <w:pStyle w:val="779"/>
        <w:jc w:val="both"/>
        <w:spacing w:beforeAutospacing="0" w:afterAutospacing="0" w:line="480" w:lineRule="auto"/>
        <w:tabs>
          <w:tab w:val="left" w:pos="1441" w:leader="none"/>
        </w:tabs>
        <w:rPr>
          <w:rFonts w:eastAsia="黑体"/>
          <w:highlight w:val="none"/>
        </w:rPr>
      </w:pPr>
      <w:r>
        <w:rPr>
          <w:rFonts w:hint="eastAsia" w:ascii="黑体" w:hAnsi="宋体" w:eastAsia="黑体" w:cs="黑体"/>
          <w:color w:val="000000"/>
          <w:sz w:val="36"/>
          <w:szCs w:val="36"/>
          <w:highlight w:val="none"/>
        </w:rPr>
        <w:t xml:space="preserve">第四章  采购需求………………………………40</w:t>
      </w:r>
      <w:r>
        <w:rPr>
          <w:rFonts w:eastAsia="黑体"/>
          <w:highlight w:val="none"/>
        </w:rPr>
      </w:r>
      <w:r/>
    </w:p>
    <w:p>
      <w:pPr>
        <w:pStyle w:val="779"/>
        <w:jc w:val="both"/>
        <w:spacing w:beforeAutospacing="0" w:afterAutospacing="0" w:line="480" w:lineRule="auto"/>
        <w:tabs>
          <w:tab w:val="left" w:pos="1441" w:leader="none"/>
        </w:tabs>
        <w:rPr>
          <w:rFonts w:eastAsia="黑体"/>
          <w:highlight w:val="none"/>
        </w:rPr>
      </w:pPr>
      <w:r>
        <w:rPr>
          <w:rFonts w:hint="eastAsia" w:ascii="黑体" w:hAnsi="宋体" w:eastAsia="黑体" w:cs="黑体"/>
          <w:color w:val="000000"/>
          <w:sz w:val="36"/>
          <w:szCs w:val="36"/>
          <w:highlight w:val="none"/>
        </w:rPr>
        <w:t xml:space="preserve">第五章  评标方法与评标标准…………………57</w:t>
      </w:r>
      <w:r>
        <w:rPr>
          <w:rFonts w:eastAsia="黑体"/>
          <w:highlight w:val="none"/>
        </w:rPr>
      </w:r>
      <w:r/>
    </w:p>
    <w:p>
      <w:pPr>
        <w:pStyle w:val="779"/>
        <w:jc w:val="both"/>
        <w:spacing w:beforeAutospacing="0" w:afterAutospacing="0" w:line="480" w:lineRule="auto"/>
        <w:tabs>
          <w:tab w:val="left" w:pos="1441" w:leader="none"/>
        </w:tabs>
        <w:rPr>
          <w:rFonts w:eastAsia="黑体"/>
          <w:highlight w:val="none"/>
        </w:rPr>
      </w:pPr>
      <w:r>
        <w:rPr>
          <w:rFonts w:hint="eastAsia" w:ascii="黑体" w:hAnsi="宋体" w:eastAsia="黑体" w:cs="黑体"/>
          <w:color w:val="000000"/>
          <w:sz w:val="36"/>
          <w:szCs w:val="36"/>
          <w:highlight w:val="none"/>
        </w:rPr>
        <w:t xml:space="preserve">第六章  投标文件格式…………………………61</w:t>
      </w:r>
      <w:r>
        <w:rPr>
          <w:rFonts w:eastAsia="黑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keepNext/>
        <w:spacing w:beforeAutospacing="0" w:afterAutospacing="0"/>
        <w:rPr>
          <w:rFonts w:eastAsia="黑体"/>
          <w:highlight w:val="none"/>
        </w:rPr>
      </w:pPr>
      <w:r>
        <w:rPr>
          <w:rFonts w:hint="eastAsia" w:ascii="宋体" w:hAnsi="宋体" w:eastAsia="宋体" w:cs="宋体"/>
          <w:highlight w:val="none"/>
        </w:rPr>
        <w:t xml:space="preserve"> </w:t>
      </w:r>
      <w:r>
        <w:rPr>
          <w:rFonts w:hint="eastAsia" w:ascii="黑体" w:hAnsi="宋体" w:eastAsia="黑体" w:cs="黑体"/>
          <w:color w:val="000000"/>
          <w:sz w:val="44"/>
          <w:szCs w:val="44"/>
          <w:highlight w:val="none"/>
        </w:rPr>
        <w:t xml:space="preserve">第一章 招标公告</w:t>
      </w:r>
      <w:r>
        <w:rPr>
          <w:rFonts w:eastAsia="黑体"/>
          <w:highlight w:val="none"/>
        </w:rPr>
      </w:r>
      <w:r/>
    </w:p>
    <w:p>
      <w:pPr>
        <w:pStyle w:val="779"/>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rPr>
        <w:t xml:space="preserve">项目概况</w:t>
      </w:r>
      <w:r>
        <w:rPr>
          <w:rFonts w:hint="eastAsia" w:ascii="宋体" w:hAnsi="宋体" w:eastAsia="宋体" w:cs="宋体"/>
          <w:highlight w:val="none"/>
        </w:rPr>
      </w:r>
      <w:r/>
    </w:p>
    <w:p>
      <w:pPr>
        <w:pStyle w:val="779"/>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rPr>
        <w:t xml:space="preserve">盐城市区地下管线信息管理系统升级及数据治理采集项目</w:t>
      </w:r>
      <w:r>
        <w:rPr>
          <w:rFonts w:hint="eastAsia" w:ascii="宋体" w:hAnsi="宋体" w:eastAsia="宋体" w:cs="宋体"/>
          <w:color w:val="333333"/>
          <w:highlight w:val="none"/>
          <w:shd w:val="clear" w:color="auto" w:fill="ffffff"/>
        </w:rPr>
        <w:t xml:space="preserve">的潜在投标人</w:t>
      </w:r>
      <w:r>
        <w:rPr>
          <w:rFonts w:hint="eastAsia" w:ascii="宋体" w:hAnsi="宋体" w:eastAsia="宋体" w:cs="宋体"/>
          <w:color w:val="333333"/>
          <w:highlight w:val="none"/>
          <w:shd w:val="clear" w:color="auto" w:fill="ffffff"/>
          <w:lang w:val="en-US" w:eastAsia="zh-CN"/>
        </w:rPr>
        <w:t xml:space="preserve">应</w:t>
      </w:r>
      <w:r>
        <w:rPr>
          <w:rFonts w:hint="eastAsia" w:ascii="宋体" w:hAnsi="宋体" w:eastAsia="宋体" w:cs="宋体"/>
          <w:color w:val="333333"/>
          <w:highlight w:val="none"/>
          <w:shd w:val="clear" w:color="auto" w:fill="ffffff"/>
        </w:rPr>
        <w:t xml:space="preserve">在“苏采云”系统内免费下载（投标人必须在苏采云系统中获取采购文件，方能参与政府采购项目），并于2026年01月16日09点00分（北京时间）前递交投标文件。</w:t>
      </w:r>
      <w:r>
        <w:rPr>
          <w:rFonts w:hint="eastAsia" w:ascii="宋体" w:hAnsi="宋体" w:eastAsia="宋体" w:cs="宋体"/>
          <w:highlight w:val="none"/>
        </w:rPr>
      </w:r>
      <w:r/>
    </w:p>
    <w:p>
      <w:pPr>
        <w:pStyle w:val="779"/>
        <w:jc w:val="both"/>
        <w:keepLines/>
        <w:keepNext/>
        <w:spacing w:before="156" w:beforeAutospacing="0" w:after="145" w:afterAutospacing="0" w:line="460" w:lineRule="exact"/>
        <w:rPr>
          <w:rFonts w:hint="eastAsia" w:ascii="宋体" w:hAnsi="宋体" w:eastAsia="宋体" w:cs="宋体"/>
          <w:highlight w:val="none"/>
        </w:rPr>
      </w:pPr>
      <w:r/>
      <w:bookmarkStart w:id="0" w:name="_Toc35393621"/>
      <w:r/>
      <w:bookmarkStart w:id="1" w:name="_Toc35393790"/>
      <w:r/>
      <w:bookmarkStart w:id="2" w:name="_Toc28359002"/>
      <w:r/>
      <w:bookmarkStart w:id="3" w:name="_Toc28359079"/>
      <w:r/>
      <w:bookmarkStart w:id="4" w:name="_Hlk24379207"/>
      <w:r/>
      <w:bookmarkStart w:id="5" w:name="_Toc38985263"/>
      <w:r>
        <w:rPr>
          <w:rFonts w:ascii="宋体" w:hAnsi="宋体" w:eastAsia="宋体"/>
          <w:b/>
          <w:color w:val="000000"/>
          <w:sz w:val="28"/>
          <w:szCs w:val="32"/>
          <w:highlight w:val="none"/>
        </w:rPr>
        <w:t xml:space="preserve">一、项目基本情况</w:t>
      </w:r>
      <w:bookmarkEnd w:id="0"/>
      <w:r/>
      <w:bookmarkEnd w:id="1"/>
      <w:r/>
      <w:bookmarkEnd w:id="2"/>
      <w:r/>
      <w:bookmarkEnd w:id="3"/>
      <w:r/>
      <w:bookmarkEnd w:id="4"/>
      <w:r/>
      <w:bookmarkEnd w:id="5"/>
      <w:r>
        <w:rPr>
          <w:rFonts w:hint="eastAsia" w:ascii="宋体" w:hAnsi="宋体" w:eastAsia="宋体" w:cs="宋体"/>
          <w:highlight w:val="none"/>
        </w:rPr>
      </w:r>
      <w:r/>
    </w:p>
    <w:p>
      <w:pPr>
        <w:pStyle w:val="779"/>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1.项目编号：</w:t>
      </w:r>
      <w:r>
        <w:rPr>
          <w:rFonts w:hint="eastAsia" w:ascii="宋体" w:hAnsi="宋体" w:eastAsia="宋体" w:cs="宋体"/>
          <w:highlight w:val="none"/>
        </w:rPr>
        <w:t xml:space="preserve">JSZC-320900-JZCG-G2025-0036</w:t>
      </w:r>
      <w:r>
        <w:rPr>
          <w:rFonts w:hint="eastAsia" w:ascii="宋体" w:hAnsi="宋体" w:eastAsia="宋体" w:cs="宋体"/>
          <w:highlight w:val="none"/>
        </w:rPr>
      </w:r>
      <w:r/>
    </w:p>
    <w:p>
      <w:pPr>
        <w:pStyle w:val="779"/>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2.项目名称：盐城市区地下管线信息管理系统升级及数据治理采集项目</w:t>
      </w:r>
      <w:r>
        <w:rPr>
          <w:rFonts w:hint="eastAsia" w:ascii="宋体" w:hAnsi="宋体" w:eastAsia="宋体" w:cs="宋体"/>
          <w:highlight w:val="none"/>
        </w:rPr>
      </w:r>
      <w:r/>
    </w:p>
    <w:p>
      <w:pPr>
        <w:pStyle w:val="779"/>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3.采购方式：公开招标</w:t>
      </w:r>
      <w:r>
        <w:rPr>
          <w:rFonts w:hint="eastAsia" w:ascii="宋体" w:hAnsi="宋体" w:eastAsia="宋体" w:cs="宋体"/>
          <w:highlight w:val="none"/>
        </w:rPr>
      </w:r>
      <w:r/>
    </w:p>
    <w:p>
      <w:pPr>
        <w:pStyle w:val="779"/>
        <w:ind w:firstLine="480"/>
        <w:jc w:val="both"/>
        <w:spacing w:beforeAutospacing="0" w:afterAutospacing="0" w:line="460" w:lineRule="exact"/>
        <w:rPr>
          <w:rFonts w:ascii="宋体" w:hAnsi="宋体" w:eastAsia="宋体" w:cs="宋体"/>
          <w:color w:val="ff0000"/>
          <w:highlight w:val="none"/>
        </w:rPr>
      </w:pPr>
      <w:r>
        <w:rPr>
          <w:rFonts w:hint="eastAsia" w:ascii="宋体" w:hAnsi="宋体" w:eastAsia="宋体" w:cs="宋体"/>
          <w:highlight w:val="none"/>
        </w:rPr>
        <w:t xml:space="preserve">4.预算金额：</w:t>
      </w:r>
      <w:r>
        <w:rPr>
          <w:rFonts w:ascii="宋体" w:hAnsi="宋体" w:eastAsia="宋体" w:cs="宋体"/>
          <w:highlight w:val="none"/>
        </w:rPr>
        <w:t xml:space="preserve">685</w:t>
      </w:r>
      <w:r>
        <w:rPr>
          <w:rFonts w:hint="eastAsia" w:ascii="宋体" w:hAnsi="宋体" w:eastAsia="宋体" w:cs="宋体"/>
          <w:highlight w:val="none"/>
          <w:lang w:val="en-US" w:eastAsia="zh-CN"/>
        </w:rPr>
        <w:t xml:space="preserve">0000.00</w:t>
      </w:r>
      <w:r>
        <w:rPr>
          <w:rFonts w:hint="eastAsia" w:ascii="宋体" w:hAnsi="宋体" w:eastAsia="宋体" w:cs="宋体"/>
          <w:highlight w:val="none"/>
        </w:rPr>
        <w:t xml:space="preserve">元</w:t>
      </w:r>
      <w:r>
        <w:rPr>
          <w:rFonts w:ascii="宋体" w:hAnsi="宋体" w:eastAsia="宋体" w:cs="宋体"/>
          <w:color w:val="ff0000"/>
          <w:highlight w:val="none"/>
        </w:rPr>
      </w:r>
      <w:r/>
    </w:p>
    <w:p>
      <w:pPr>
        <w:pStyle w:val="737"/>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5.最高限价：685</w:t>
      </w:r>
      <w:r>
        <w:rPr>
          <w:rFonts w:hint="eastAsia" w:ascii="宋体" w:hAnsi="宋体" w:eastAsia="宋体" w:cs="宋体"/>
          <w:sz w:val="24"/>
          <w:highlight w:val="none"/>
          <w:lang w:val="en-US" w:eastAsia="zh-CN"/>
        </w:rPr>
        <w:t xml:space="preserve">0000.00</w:t>
      </w:r>
      <w:r>
        <w:rPr>
          <w:rFonts w:hint="eastAsia" w:ascii="宋体" w:hAnsi="宋体" w:eastAsia="宋体" w:cs="宋体"/>
          <w:sz w:val="24"/>
          <w:highlight w:val="none"/>
        </w:rPr>
        <w:t xml:space="preserve">元</w:t>
      </w:r>
      <w:r>
        <w:rPr>
          <w:rFonts w:hint="eastAsia" w:ascii="宋体" w:hAnsi="宋体" w:eastAsia="宋体" w:cs="宋体"/>
          <w:sz w:val="24"/>
          <w:highlight w:val="none"/>
          <w:lang w:val="en-US" w:eastAsia="zh-CN"/>
        </w:rPr>
        <w:t xml:space="preserve">,其中基础支撑软硬件142.00万元；数据治理139.00万元；管线修补测171.00万元；信息管理系统开发204.00万元；其他费用（软件测评、系统集成、等级保护、密码测评）29.00万元</w:t>
      </w:r>
      <w:r>
        <w:rPr>
          <w:rFonts w:hint="eastAsia" w:ascii="宋体" w:hAnsi="宋体" w:cs="宋体"/>
          <w:sz w:val="24"/>
          <w:highlight w:val="none"/>
        </w:rPr>
        <w:t xml:space="preserve">（投标报价高于最高限价</w:t>
      </w:r>
      <w:r>
        <w:rPr>
          <w:rFonts w:hint="eastAsia" w:ascii="宋体" w:hAnsi="宋体" w:eastAsia="宋体" w:cs="宋体"/>
          <w:sz w:val="24"/>
          <w:highlight w:val="none"/>
          <w:lang w:val="en-US" w:eastAsia="zh-CN"/>
        </w:rPr>
        <w:t xml:space="preserve">及各分项限价</w:t>
      </w:r>
      <w:r>
        <w:rPr>
          <w:rFonts w:hint="eastAsia" w:ascii="宋体" w:hAnsi="宋体" w:cs="宋体"/>
          <w:sz w:val="24"/>
          <w:highlight w:val="none"/>
        </w:rPr>
        <w:t xml:space="preserve">的，采购人将不予接受，视为无效标书）。</w:t>
      </w:r>
      <w:r>
        <w:rPr>
          <w:rFonts w:hint="eastAsia" w:ascii="宋体" w:hAnsi="宋体" w:eastAsia="宋体" w:cs="宋体"/>
          <w:sz w:val="24"/>
          <w:highlight w:val="none"/>
        </w:rPr>
      </w:r>
      <w:r/>
    </w:p>
    <w:p>
      <w:pPr>
        <w:pStyle w:val="737"/>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6.采购需求：盐城市区地下管线信息管理系统升级及数据治理采集项目</w:t>
      </w:r>
      <w:r>
        <w:rPr>
          <w:rFonts w:hint="eastAsia" w:ascii="宋体" w:hAnsi="宋体" w:cs="宋体"/>
          <w:sz w:val="24"/>
          <w:highlight w:val="none"/>
        </w:rPr>
        <w:t xml:space="preserve">，具体内容及要求详见招标文件项目需求。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79"/>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7.合同履行期限：合同签订后12个月内完成所有项目内容。</w:t>
      </w:r>
      <w:r>
        <w:rPr>
          <w:rFonts w:hint="eastAsia" w:ascii="宋体" w:hAnsi="宋体" w:eastAsia="宋体" w:cs="宋体"/>
          <w:highlight w:val="none"/>
        </w:rPr>
      </w:r>
      <w:r/>
    </w:p>
    <w:p>
      <w:pPr>
        <w:pStyle w:val="834"/>
        <w:ind w:firstLine="480"/>
        <w:jc w:val="both"/>
        <w:spacing w:beforeAutospacing="0" w:afterAutospacing="0" w:line="460" w:lineRule="exact"/>
        <w:rPr>
          <w:rFonts w:hint="eastAsia" w:ascii="宋体" w:hAnsi="宋体" w:cs="仿宋"/>
          <w:color w:val="000000"/>
          <w:highlight w:val="none"/>
          <w:shd w:val="clear" w:color="auto" w:fill="ffffff"/>
        </w:rPr>
      </w:pPr>
      <w:r/>
      <w:bookmarkStart w:id="6" w:name="_Toc35393622"/>
      <w:r/>
      <w:bookmarkStart w:id="7" w:name="_Toc28359080"/>
      <w:r/>
      <w:bookmarkStart w:id="8" w:name="_Toc35393791"/>
      <w:r/>
      <w:bookmarkStart w:id="9" w:name="_Toc28359003"/>
      <w:r/>
      <w:bookmarkStart w:id="10" w:name="_Toc38985264"/>
      <w:r/>
      <w:r>
        <w:rPr>
          <w:rFonts w:hint="eastAsia" w:ascii="宋体" w:hAnsi="宋体" w:cs="仿宋"/>
          <w:color w:val="000000"/>
          <w:highlight w:val="none"/>
          <w:shd w:val="clear" w:color="auto" w:fill="ffffff"/>
        </w:rPr>
        <w:t xml:space="preserve">8.本项目接受联合体投标</w:t>
      </w:r>
      <w:r>
        <w:rPr>
          <w:rFonts w:hint="eastAsia" w:ascii="宋体" w:hAnsi="宋体" w:eastAsia="宋体" w:cs="仿宋"/>
          <w:color w:val="000000"/>
          <w:highlight w:val="none"/>
          <w:shd w:val="clear" w:color="auto" w:fill="ffffff"/>
          <w:lang w:eastAsia="zh-CN"/>
        </w:rPr>
        <w:t xml:space="preserve">，</w:t>
      </w:r>
      <w:r>
        <w:rPr>
          <w:rFonts w:hint="eastAsia" w:ascii="宋体" w:hAnsi="宋体" w:cs="仿宋"/>
          <w:color w:val="000000"/>
          <w:highlight w:val="none"/>
          <w:shd w:val="clear" w:color="auto" w:fill="ffffff"/>
        </w:rPr>
        <w:t xml:space="preserve">联合体中所有成员数量不得超过</w:t>
      </w:r>
      <w:r>
        <w:rPr>
          <w:rFonts w:ascii="宋体" w:hAnsi="宋体" w:cs="仿宋"/>
          <w:color w:val="000000"/>
          <w:highlight w:val="none"/>
          <w:shd w:val="clear" w:color="auto" w:fill="ffffff"/>
        </w:rPr>
        <w:t xml:space="preserve">3</w:t>
      </w:r>
      <w:r>
        <w:rPr>
          <w:rFonts w:hint="eastAsia" w:ascii="宋体" w:hAnsi="宋体" w:cs="仿宋"/>
          <w:color w:val="000000"/>
          <w:highlight w:val="none"/>
          <w:shd w:val="clear" w:color="auto" w:fill="ffffff"/>
        </w:rPr>
        <w:t xml:space="preserve">名。</w:t>
      </w:r>
      <w:r>
        <w:rPr>
          <w:rFonts w:hint="eastAsia" w:ascii="宋体" w:hAnsi="宋体" w:cs="仿宋"/>
          <w:color w:val="000000"/>
          <w:highlight w:val="none"/>
          <w:shd w:val="clear" w:color="auto" w:fill="ffffff"/>
        </w:rPr>
      </w:r>
      <w:r/>
    </w:p>
    <w:p>
      <w:pPr>
        <w:pStyle w:val="834"/>
        <w:jc w:val="both"/>
        <w:spacing w:beforeAutospacing="0" w:afterAutospacing="0" w:line="460" w:lineRule="exact"/>
        <w:rPr>
          <w:highlight w:val="none"/>
        </w:rPr>
      </w:pPr>
      <w:r>
        <w:rPr>
          <w:rFonts w:ascii="Times New Roman" w:hAnsi="Times New Roman"/>
          <w:b/>
          <w:sz w:val="32"/>
          <w:szCs w:val="32"/>
          <w:highlight w:val="none"/>
        </w:rPr>
        <w:t xml:space="preserve">二、申请人的资格要求</w:t>
      </w:r>
      <w:bookmarkEnd w:id="6"/>
      <w:r/>
      <w:bookmarkEnd w:id="7"/>
      <w:r/>
      <w:bookmarkEnd w:id="8"/>
      <w:r/>
      <w:bookmarkEnd w:id="9"/>
      <w:r/>
      <w:bookmarkEnd w:id="10"/>
      <w:r>
        <w:rPr>
          <w:highlight w:val="none"/>
        </w:rPr>
      </w:r>
      <w:r/>
    </w:p>
    <w:p>
      <w:pPr>
        <w:pStyle w:val="779"/>
        <w:ind w:firstLine="480"/>
        <w:jc w:val="both"/>
        <w:spacing w:beforeAutospacing="0" w:afterAutospacing="0" w:line="460" w:lineRule="exact"/>
        <w:rPr>
          <w:highlight w:val="none"/>
        </w:rPr>
      </w:pPr>
      <w:r>
        <w:rPr>
          <w:rFonts w:hint="eastAsia" w:ascii="宋体" w:hAnsi="宋体" w:eastAsia="宋体" w:cs="宋体"/>
          <w:highlight w:val="none"/>
        </w:rPr>
        <w:t xml:space="preserve">1.满足《中华人民共和国政府采购法》第二十二条规定，并提供下列材料：</w:t>
      </w:r>
      <w:r>
        <w:rPr>
          <w:highlight w:val="none"/>
        </w:rPr>
      </w:r>
      <w:r/>
    </w:p>
    <w:p>
      <w:pPr>
        <w:pStyle w:val="779"/>
        <w:ind w:firstLine="480"/>
        <w:jc w:val="both"/>
        <w:spacing w:beforeAutospacing="0" w:afterAutospacing="0" w:line="460" w:lineRule="exact"/>
        <w:rPr>
          <w:highlight w:val="none"/>
        </w:rPr>
      </w:pPr>
      <w:r>
        <w:rPr>
          <w:rFonts w:hint="eastAsia" w:ascii="宋体" w:hAnsi="宋体" w:eastAsia="宋体" w:cs="宋体"/>
          <w:highlight w:val="none"/>
        </w:rPr>
        <w:t xml:space="preserve">1.1 法人或者其他组织的营业执照等证明文件，自然人的身份证明；</w:t>
      </w:r>
      <w:r>
        <w:rPr>
          <w:highlight w:val="none"/>
        </w:rPr>
      </w:r>
      <w:r/>
    </w:p>
    <w:p>
      <w:pPr>
        <w:pStyle w:val="779"/>
        <w:ind w:firstLine="480"/>
        <w:jc w:val="both"/>
        <w:spacing w:beforeAutospacing="0" w:afterAutospacing="0" w:line="460" w:lineRule="exact"/>
        <w:rPr>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 2024或2025</w:t>
      </w:r>
      <w:r>
        <w:rPr>
          <w:rFonts w:hint="eastAsia" w:ascii="宋体" w:hAnsi="宋体" w:eastAsia="宋体" w:cs="宋体"/>
          <w:highlight w:val="none"/>
        </w:rPr>
        <w:t xml:space="preserve">年度的财务状况报</w:t>
      </w:r>
      <w:r>
        <w:rPr>
          <w:rFonts w:hint="eastAsia" w:ascii="宋体" w:hAnsi="宋体" w:eastAsia="宋体" w:cs="宋体"/>
          <w:highlight w:val="none"/>
          <w:lang w:val="en-US" w:eastAsia="zh-CN"/>
        </w:rPr>
        <w:t xml:space="preserve">告</w:t>
      </w:r>
      <w:r>
        <w:rPr>
          <w:rFonts w:hint="eastAsia" w:ascii="宋体" w:hAnsi="宋体" w:eastAsia="宋体" w:cs="宋体"/>
          <w:highlight w:val="none"/>
        </w:rPr>
        <w:t xml:space="preserve">（成立不满一年无需提供）；</w:t>
      </w:r>
      <w:r>
        <w:rPr>
          <w:highlight w:val="none"/>
        </w:rPr>
      </w:r>
      <w:r/>
    </w:p>
    <w:p>
      <w:pPr>
        <w:pStyle w:val="779"/>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highlight w:val="none"/>
        </w:rPr>
      </w:r>
      <w:r/>
    </w:p>
    <w:p>
      <w:pPr>
        <w:pStyle w:val="779"/>
        <w:ind w:firstLine="480"/>
        <w:jc w:val="both"/>
        <w:spacing w:beforeAutospacing="0" w:afterAutospacing="0" w:line="460" w:lineRule="exact"/>
        <w:rPr>
          <w:highlight w:val="none"/>
        </w:rPr>
      </w:pPr>
      <w:r>
        <w:rPr>
          <w:rFonts w:hint="eastAsia" w:ascii="宋体" w:hAnsi="宋体" w:eastAsia="宋体" w:cs="宋体"/>
          <w:highlight w:val="none"/>
        </w:rPr>
        <w:t xml:space="preserve">1.4具备履行合同所必需的设备和专业技术能力的书面声明；</w:t>
      </w:r>
      <w:r>
        <w:rPr>
          <w:highlight w:val="none"/>
        </w:rPr>
      </w:r>
      <w:r/>
    </w:p>
    <w:p>
      <w:pPr>
        <w:pStyle w:val="779"/>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1.5参加政府采购活动前3年内在经营活动中没有重大违法记录的书面声明。</w:t>
      </w:r>
      <w:r>
        <w:rPr>
          <w:rFonts w:hint="eastAsia" w:ascii="宋体" w:hAnsi="宋体" w:eastAsia="宋体" w:cs="宋体"/>
          <w:highlight w:val="none"/>
        </w:rPr>
      </w:r>
      <w:r/>
    </w:p>
    <w:p>
      <w:pPr>
        <w:pStyle w:val="779"/>
        <w:ind w:firstLine="480"/>
        <w:jc w:val="both"/>
        <w:spacing w:beforeAutospacing="0" w:afterAutospacing="0" w:line="460" w:lineRule="exact"/>
        <w:rPr>
          <w:highlight w:val="none"/>
        </w:rPr>
      </w:pPr>
      <w:r>
        <w:rPr>
          <w:rFonts w:hint="eastAsia" w:ascii="宋体" w:hAnsi="宋体" w:eastAsia="宋体" w:cs="宋体"/>
          <w:highlight w:val="none"/>
        </w:rPr>
        <w:t xml:space="preserve">1.6 法律、行政法规规定的其他条件。</w:t>
      </w:r>
      <w:r>
        <w:rPr>
          <w:highlight w:val="none"/>
        </w:rPr>
      </w:r>
      <w:r/>
    </w:p>
    <w:p>
      <w:pPr>
        <w:pStyle w:val="779"/>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highlight w:val="none"/>
        </w:rPr>
      </w:r>
      <w:r/>
    </w:p>
    <w:p>
      <w:pPr>
        <w:pStyle w:val="779"/>
        <w:ind w:firstLine="480"/>
        <w:jc w:val="both"/>
        <w:spacing w:beforeAutospacing="0" w:afterAutospacing="0" w:line="460" w:lineRule="exact"/>
        <w:rPr>
          <w:highlight w:val="none"/>
        </w:rPr>
      </w:pPr>
      <w:r>
        <w:rPr>
          <w:rFonts w:hint="eastAsia" w:ascii="宋体" w:hAnsi="宋体" w:eastAsia="宋体" w:cs="宋体"/>
          <w:highlight w:val="none"/>
        </w:rPr>
        <w:t xml:space="preserve">1.8单位负责人为同一人或者存在直接控股、</w:t>
      </w:r>
      <w:r>
        <w:rPr>
          <w:rFonts w:hint="eastAsia" w:ascii="宋体" w:hAnsi="宋体" w:eastAsia="宋体" w:cs="宋体"/>
          <w:highlight w:val="none"/>
          <w:lang w:val="en-US" w:eastAsia="zh-CN"/>
        </w:rPr>
        <w:t xml:space="preserve">管理</w:t>
      </w:r>
      <w:r>
        <w:rPr>
          <w:rFonts w:hint="eastAsia" w:ascii="宋体" w:hAnsi="宋体" w:eastAsia="宋体" w:cs="宋体"/>
          <w:highlight w:val="none"/>
        </w:rPr>
        <w:t xml:space="preserve">关系的不同供应商，不得参加同一合同项下的政府采购活动。</w:t>
      </w:r>
      <w:r>
        <w:rPr>
          <w:highlight w:val="none"/>
        </w:rPr>
      </w:r>
      <w:r/>
    </w:p>
    <w:p>
      <w:pPr>
        <w:pStyle w:val="779"/>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2.落实政府采购政策需满足的资格要求：无。</w:t>
      </w:r>
      <w:r>
        <w:rPr>
          <w:rFonts w:hint="eastAsia" w:ascii="宋体" w:hAnsi="宋体" w:eastAsia="宋体" w:cs="宋体"/>
          <w:highlight w:val="none"/>
        </w:rPr>
      </w:r>
      <w:r/>
    </w:p>
    <w:p>
      <w:pPr>
        <w:pStyle w:val="779"/>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3.本项目的特定资格要求：</w:t>
      </w:r>
      <w:r>
        <w:rPr>
          <w:rFonts w:hint="eastAsia" w:ascii="宋体" w:hAnsi="宋体" w:eastAsia="宋体" w:cs="宋体"/>
          <w:highlight w:val="none"/>
        </w:rPr>
      </w:r>
      <w:r/>
    </w:p>
    <w:p>
      <w:pPr>
        <w:pStyle w:val="737"/>
        <w:ind w:firstLine="480"/>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投标供应商具有乙级及以上测绘资质（需同时包含工程测量和地理信息系统工程），若采用联合体投标，联合体成员至少有一家具有乙级及以上测绘资质（需同时包含工程测量和地理信息系统工程）。</w:t>
      </w:r>
      <w:r>
        <w:rPr>
          <w:rFonts w:hint="eastAsia" w:ascii="宋体" w:hAnsi="宋体" w:eastAsia="宋体" w:cs="宋体"/>
          <w:sz w:val="24"/>
          <w:szCs w:val="24"/>
          <w:highlight w:val="none"/>
          <w:lang w:val="en-US" w:eastAsia="zh-CN" w:bidi="ar-SA"/>
        </w:rPr>
      </w:r>
      <w:r/>
    </w:p>
    <w:p>
      <w:pPr>
        <w:pStyle w:val="779"/>
        <w:jc w:val="both"/>
        <w:keepLines/>
        <w:keepNext/>
        <w:spacing w:before="145" w:beforeAutospacing="0" w:after="145" w:afterAutospacing="0" w:line="460" w:lineRule="exact"/>
        <w:rPr>
          <w:highlight w:val="none"/>
        </w:rPr>
      </w:pPr>
      <w:r>
        <w:rPr>
          <w:rFonts w:ascii="Times New Roman" w:hAnsi="Times New Roman"/>
          <w:b/>
          <w:color w:val="000000"/>
          <w:sz w:val="32"/>
          <w:szCs w:val="32"/>
          <w:highlight w:val="none"/>
        </w:rPr>
        <w:t xml:space="preserve">三、获取招标文件</w:t>
      </w:r>
      <w:r>
        <w:rPr>
          <w:highlight w:val="none"/>
        </w:rPr>
      </w:r>
      <w:r/>
    </w:p>
    <w:p>
      <w:pPr>
        <w:pStyle w:val="737"/>
        <w:ind w:firstLine="480"/>
        <w:jc w:val="left"/>
        <w:spacing w:line="460" w:lineRule="exact"/>
        <w:widowControl/>
        <w:rPr>
          <w:rFonts w:hint="eastAsia" w:ascii="宋体" w:hAnsi="宋体" w:eastAsia="宋体" w:cs="宋体"/>
          <w:color w:val="000000"/>
          <w:sz w:val="24"/>
          <w:highlight w:val="none"/>
        </w:rPr>
      </w:pPr>
      <w:r/>
      <w:bookmarkStart w:id="12" w:name="_Toc28359005"/>
      <w:r/>
      <w:bookmarkStart w:id="13" w:name="_Toc28359082"/>
      <w:r/>
      <w:bookmarkStart w:id="14" w:name="_Toc38985266"/>
      <w:r/>
      <w:bookmarkStart w:id="15" w:name="_Toc35393624"/>
      <w:r/>
      <w:bookmarkStart w:id="16" w:name="_Toc35393793"/>
      <w:r>
        <w:rPr>
          <w:rFonts w:hint="eastAsia" w:ascii="宋体" w:hAnsi="宋体" w:eastAsia="宋体" w:cs="宋体"/>
          <w:color w:val="000000"/>
          <w:sz w:val="24"/>
          <w:highlight w:val="none"/>
        </w:rPr>
        <w:t xml:space="preserve">1.时间：</w:t>
      </w:r>
      <w:bookmarkEnd w:id="12"/>
      <w:r/>
      <w:bookmarkEnd w:id="13"/>
      <w:r/>
      <w:bookmarkEnd w:id="14"/>
      <w:r/>
      <w:bookmarkEnd w:id="15"/>
      <w:r/>
      <w:bookmarkEnd w:id="16"/>
      <w:r>
        <w:rPr>
          <w:rFonts w:hint="eastAsia" w:ascii="宋体" w:hAnsi="宋体" w:eastAsia="宋体" w:cs="宋体"/>
          <w:color w:val="000000"/>
          <w:sz w:val="24"/>
          <w:highlight w:val="none"/>
        </w:rPr>
        <w:t xml:space="preserve">自招标文件公告发布之日起5个工作日。</w:t>
      </w:r>
      <w:r>
        <w:rPr>
          <w:rFonts w:hint="eastAsia" w:ascii="宋体" w:hAnsi="宋体" w:eastAsia="宋体" w:cs="宋体"/>
          <w:color w:val="000000"/>
          <w:sz w:val="24"/>
          <w:highlight w:val="none"/>
        </w:rPr>
      </w:r>
      <w:r/>
    </w:p>
    <w:p>
      <w:pPr>
        <w:pStyle w:val="737"/>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2.地点：“苏采云”系统内免费下载（投标人必须在苏采云系统中获取采购文件，方能参与政府采购项目）；</w:t>
      </w:r>
      <w:r>
        <w:rPr>
          <w:rFonts w:hint="eastAsia" w:ascii="宋体" w:hAnsi="宋体" w:eastAsia="宋体" w:cs="宋体"/>
          <w:color w:val="000000"/>
          <w:sz w:val="24"/>
          <w:highlight w:val="none"/>
        </w:rPr>
      </w:r>
      <w:r/>
    </w:p>
    <w:p>
      <w:pPr>
        <w:pStyle w:val="737"/>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3.方式：本项目采用网上注册登记方式。 </w:t>
      </w:r>
      <w:r>
        <w:rPr>
          <w:rFonts w:hint="eastAsia" w:ascii="宋体" w:hAnsi="宋体" w:eastAsia="宋体" w:cs="宋体"/>
          <w:color w:val="000000"/>
          <w:sz w:val="24"/>
          <w:highlight w:val="none"/>
        </w:rPr>
      </w:r>
      <w:r/>
    </w:p>
    <w:p>
      <w:pPr>
        <w:pStyle w:val="737"/>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4.售价：0元</w:t>
      </w:r>
      <w:r>
        <w:rPr>
          <w:rFonts w:hint="eastAsia" w:ascii="宋体" w:hAnsi="宋体" w:eastAsia="宋体" w:cs="宋体"/>
          <w:color w:val="000000"/>
          <w:sz w:val="24"/>
          <w:highlight w:val="none"/>
        </w:rPr>
      </w:r>
      <w:r/>
    </w:p>
    <w:p>
      <w:pPr>
        <w:pStyle w:val="779"/>
        <w:jc w:val="both"/>
        <w:keepLines/>
        <w:keepNext/>
        <w:spacing w:before="145" w:beforeAutospacing="0" w:after="145" w:afterAutospacing="0" w:line="460" w:lineRule="exact"/>
        <w:rPr>
          <w:highlight w:val="none"/>
        </w:rPr>
      </w:pPr>
      <w:r>
        <w:rPr>
          <w:rFonts w:ascii="Times New Roman" w:hAnsi="Times New Roman"/>
          <w:b/>
          <w:color w:val="000000"/>
          <w:sz w:val="32"/>
          <w:szCs w:val="32"/>
          <w:highlight w:val="none"/>
        </w:rPr>
        <w:t xml:space="preserve">四、提交投标文件截止时间、开标时间和地点</w:t>
      </w:r>
      <w:r>
        <w:rPr>
          <w:highlight w:val="none"/>
        </w:rPr>
      </w:r>
      <w:r/>
    </w:p>
    <w:p>
      <w:pPr>
        <w:pStyle w:val="737"/>
        <w:ind w:firstLine="480"/>
        <w:jc w:val="left"/>
        <w:spacing w:line="460" w:lineRule="exact"/>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1.时间：2026年01月16日9:00 （北京时间）</w:t>
      </w:r>
      <w:r>
        <w:rPr>
          <w:rFonts w:hint="eastAsia" w:ascii="宋体" w:hAnsi="宋体" w:eastAsia="宋体" w:cs="宋体"/>
          <w:color w:val="000000"/>
          <w:sz w:val="24"/>
          <w:highlight w:val="none"/>
        </w:rPr>
      </w:r>
      <w:r/>
    </w:p>
    <w:p>
      <w:pPr>
        <w:pStyle w:val="737"/>
        <w:ind w:firstLine="480"/>
        <w:jc w:val="left"/>
        <w:spacing w:line="460" w:lineRule="exact"/>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2.地点：苏采云“不见面”开标大厅。</w:t>
      </w:r>
      <w:r>
        <w:rPr>
          <w:rFonts w:hint="eastAsia" w:ascii="宋体" w:hAnsi="宋体" w:eastAsia="宋体" w:cs="宋体"/>
          <w:color w:val="000000"/>
          <w:sz w:val="24"/>
          <w:highlight w:val="none"/>
        </w:rPr>
      </w:r>
      <w:r/>
    </w:p>
    <w:p>
      <w:pPr>
        <w:pStyle w:val="779"/>
        <w:jc w:val="both"/>
        <w:keepLines/>
        <w:keepNext/>
        <w:spacing w:before="145" w:beforeAutospacing="0" w:after="145" w:afterAutospacing="0" w:line="460" w:lineRule="exact"/>
        <w:rPr>
          <w:highlight w:val="none"/>
        </w:rPr>
      </w:pPr>
      <w:r>
        <w:rPr>
          <w:rFonts w:ascii="Times New Roman" w:hAnsi="Times New Roman"/>
          <w:b/>
          <w:color w:val="000000"/>
          <w:sz w:val="32"/>
          <w:szCs w:val="32"/>
          <w:highlight w:val="none"/>
        </w:rPr>
        <w:t xml:space="preserve">五、公告期限</w:t>
      </w:r>
      <w:r>
        <w:rPr>
          <w:highlight w:val="none"/>
        </w:rPr>
      </w:r>
      <w:r/>
    </w:p>
    <w:p>
      <w:pPr>
        <w:pStyle w:val="737"/>
        <w:ind w:firstLine="480"/>
        <w:jc w:val="left"/>
        <w:spacing w:line="460" w:lineRule="exact"/>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779"/>
        <w:jc w:val="both"/>
        <w:keepLines/>
        <w:keepNext/>
        <w:spacing w:before="145" w:beforeAutospacing="0" w:after="145" w:afterAutospacing="0" w:line="460" w:lineRule="exact"/>
        <w:rPr>
          <w:highlight w:val="none"/>
        </w:rPr>
      </w:pPr>
      <w:r>
        <w:rPr>
          <w:rFonts w:ascii="Times New Roman" w:hAnsi="Times New Roman"/>
          <w:b/>
          <w:color w:val="000000"/>
          <w:sz w:val="32"/>
          <w:szCs w:val="32"/>
          <w:highlight w:val="none"/>
        </w:rPr>
        <w:t xml:space="preserve">六、其他补充事宜</w:t>
      </w:r>
      <w:r>
        <w:rPr>
          <w:highlight w:val="none"/>
        </w:rPr>
      </w:r>
      <w:r/>
    </w:p>
    <w:p>
      <w:pPr>
        <w:pStyle w:val="779"/>
        <w:ind w:firstLine="480"/>
        <w:jc w:val="both"/>
        <w:spacing w:beforeAutospacing="0" w:afterAutospacing="0" w:line="460" w:lineRule="exact"/>
        <w:shd w:val="clear" w:color="auto" w:fill="ffffff"/>
        <w:rPr>
          <w:rFonts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2. 潜在供应商访问电子招标响应交易平台的网络地址和方法： </w:t>
      </w:r>
      <w:r>
        <w:rPr>
          <w:rFonts w:hint="eastAsia"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2.2 潜在投标人访问“苏采云”系统方法：江苏省政府采购网首页-“苏采云”链接。 </w:t>
      </w:r>
      <w:r>
        <w:rPr>
          <w:rFonts w:hint="eastAsia"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2.3 采购文件（后缀名为“.kedt”）、供应商操作手册及政府采购客户端 工具可通过“苏采云”系统相应链接进行下载。 </w:t>
      </w:r>
      <w:r>
        <w:rPr>
          <w:rFonts w:hint="eastAsia"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2.4 采购代理机构将数据电文形式的采购文件加载至“苏采云”系统，供潜在供应商下载或者查阅。 </w:t>
      </w:r>
      <w:r>
        <w:rPr>
          <w:rFonts w:hint="eastAsia"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2.5 请潜在投标单位提前安装相应的控件（详见《“苏采云”系统供应商操作手册》）并使用谷歌浏览器登录“苏采云”系统参与不见面开评标。 </w:t>
      </w:r>
      <w:r>
        <w:rPr>
          <w:rFonts w:hint="eastAsia"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如潜在投标人未按上述要求操作，将自行承担所产生的风险。</w:t>
      </w:r>
      <w:r>
        <w:rPr>
          <w:rFonts w:hint="eastAsia"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3.有关本次招标的事项若存在变动或修改，敬请及时关注盐城市政府采购中心在“中国政府采购网”“江苏政府采购网”“盐城市政府采购网”发布的更正公告。</w:t>
      </w:r>
      <w:r>
        <w:rPr>
          <w:rFonts w:hint="eastAsia" w:ascii="宋体" w:hAnsi="宋体" w:eastAsia="宋体" w:cs="宋体"/>
          <w:highlight w:val="none"/>
          <w:shd w:val="clear" w:color="auto" w:fill="ffffff"/>
        </w:rPr>
      </w:r>
      <w:r/>
    </w:p>
    <w:p>
      <w:pPr>
        <w:pStyle w:val="779"/>
        <w:ind w:firstLine="480"/>
        <w:jc w:val="both"/>
        <w:spacing w:beforeAutospacing="0" w:afterAutospacing="0" w:line="460" w:lineRule="exact"/>
        <w:shd w:val="clear" w:color="auto" w:fill="ffffff"/>
        <w:rPr>
          <w:rFonts w:hint="eastAsia" w:ascii="宋体" w:hAnsi="宋体" w:eastAsia="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shd w:val="clear" w:color="auto" w:fill="ffffff"/>
        </w:rPr>
        <w:t xml:space="preserve">4.本次招标不收取投标保证金，不收取质量保证金。</w:t>
      </w:r>
      <w:r>
        <w:rPr>
          <w:rFonts w:hint="eastAsia" w:ascii="宋体" w:hAnsi="宋体" w:eastAsia="宋体" w:cs="宋体"/>
          <w:highlight w:val="none"/>
          <w:shd w:val="clear" w:color="auto" w:fill="ffffff"/>
        </w:rPr>
      </w:r>
      <w:r/>
    </w:p>
    <w:p>
      <w:pPr>
        <w:pStyle w:val="739"/>
        <w:jc w:val="both"/>
        <w:spacing w:line="460" w:lineRule="exact"/>
        <w:shd w:val="clear" w:color="auto" w:fill="ffffff"/>
        <w:widowControl/>
        <w:rPr>
          <w:rFonts w:ascii="微软雅黑" w:hAnsi="微软雅黑" w:eastAsia="微软雅黑" w:cs="微软雅黑"/>
          <w:b w:val="0"/>
          <w:color w:val="333333"/>
          <w:sz w:val="27"/>
          <w:szCs w:val="27"/>
          <w:highlight w:val="none"/>
        </w:rPr>
      </w:pPr>
      <w:r>
        <w:rPr>
          <w:rFonts w:ascii="黑体" w:eastAsia="黑体" w:cs="黑体"/>
          <w:b w:val="0"/>
          <w:color w:val="333333"/>
          <w:sz w:val="28"/>
          <w:szCs w:val="28"/>
          <w:highlight w:val="none"/>
          <w:shd w:val="clear" w:color="auto" w:fill="ffffff"/>
        </w:rPr>
        <w:t xml:space="preserve">七、对本次招标提出询问，请按以下方式联系。</w:t>
      </w:r>
      <w:r>
        <w:rPr>
          <w:rFonts w:ascii="微软雅黑" w:hAnsi="微软雅黑" w:eastAsia="微软雅黑" w:cs="微软雅黑"/>
          <w:b w:val="0"/>
          <w:color w:val="333333"/>
          <w:sz w:val="27"/>
          <w:szCs w:val="27"/>
          <w:highlight w:val="none"/>
        </w:rPr>
      </w:r>
      <w:r/>
    </w:p>
    <w:p>
      <w:pPr>
        <w:pStyle w:val="779"/>
        <w:ind w:left="480" w:firstLine="48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highlight w:val="none"/>
        </w:rPr>
        <w:t xml:space="preserve">1.采购人信息</w:t>
      </w:r>
      <w:r>
        <w:rPr>
          <w:rFonts w:hint="eastAsia" w:ascii="宋体" w:hAnsi="宋体" w:eastAsia="宋体" w:cs="宋体"/>
          <w:highlight w:val="none"/>
        </w:rPr>
      </w:r>
      <w:r/>
    </w:p>
    <w:p>
      <w:pPr>
        <w:pStyle w:val="737"/>
        <w:ind w:left="480" w:firstLine="480"/>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名 称：盐城市自然资源和规划局   </w:t>
      </w:r>
      <w:r>
        <w:rPr>
          <w:rFonts w:hint="eastAsia" w:ascii="宋体" w:hAnsi="宋体" w:eastAsia="宋体" w:cs="宋体"/>
          <w:sz w:val="24"/>
          <w:highlight w:val="none"/>
        </w:rPr>
      </w:r>
      <w:r/>
    </w:p>
    <w:p>
      <w:pPr>
        <w:pStyle w:val="779"/>
        <w:ind w:left="480"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地 址：</w:t>
      </w:r>
      <w:r>
        <w:rPr>
          <w:rFonts w:hint="eastAsia" w:ascii="宋体" w:hAnsi="宋体" w:cs="宋体"/>
          <w:szCs w:val="21"/>
          <w:highlight w:val="none"/>
        </w:rPr>
        <w:t xml:space="preserve">盐城市亭湖区毓龙东路59号</w:t>
      </w:r>
      <w:r>
        <w:rPr>
          <w:rFonts w:hint="eastAsia" w:ascii="宋体" w:hAnsi="宋体" w:eastAsia="宋体" w:cs="宋体"/>
          <w:highlight w:val="none"/>
        </w:rPr>
        <w:t xml:space="preserve"> </w:t>
      </w:r>
      <w:r>
        <w:rPr>
          <w:rFonts w:hint="eastAsia" w:ascii="宋体" w:hAnsi="宋体" w:eastAsia="宋体" w:cs="宋体"/>
          <w:highlight w:val="none"/>
        </w:rPr>
      </w:r>
      <w:r/>
    </w:p>
    <w:p>
      <w:pPr>
        <w:pStyle w:val="779"/>
        <w:ind w:left="480"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联系人：王先生         </w:t>
      </w:r>
      <w:r>
        <w:rPr>
          <w:rFonts w:hint="eastAsia" w:ascii="宋体" w:hAnsi="宋体" w:eastAsia="宋体" w:cs="宋体"/>
          <w:highlight w:val="none"/>
        </w:rPr>
      </w:r>
      <w:r/>
    </w:p>
    <w:p>
      <w:pPr>
        <w:pStyle w:val="779"/>
        <w:ind w:left="480" w:firstLine="480"/>
        <w:spacing w:beforeAutospacing="0" w:afterAutospacing="0" w:line="460" w:lineRule="exact"/>
        <w:rPr>
          <w:rFonts w:ascii="仿宋" w:hAnsi="仿宋" w:eastAsia="仿宋" w:cs="仿宋"/>
          <w:color w:val="333333"/>
          <w:sz w:val="28"/>
          <w:szCs w:val="28"/>
          <w:highlight w:val="none"/>
          <w:shd w:val="clear" w:color="auto" w:fill="ffffff"/>
        </w:rPr>
      </w:pPr>
      <w:r>
        <w:rPr>
          <w:rFonts w:hint="eastAsia" w:ascii="宋体" w:hAnsi="宋体" w:eastAsia="宋体" w:cs="宋体"/>
          <w:highlight w:val="none"/>
        </w:rPr>
        <w:t xml:space="preserve">联系方式：88187102    </w:t>
      </w:r>
      <w:r>
        <w:rPr>
          <w:rFonts w:hint="eastAsia" w:ascii="仿宋" w:hAnsi="仿宋" w:eastAsia="仿宋" w:cs="仿宋"/>
          <w:color w:val="333333"/>
          <w:sz w:val="28"/>
          <w:szCs w:val="28"/>
          <w:highlight w:val="none"/>
          <w:shd w:val="clear" w:color="auto" w:fill="ffffff"/>
        </w:rPr>
        <w:t xml:space="preserve">       </w:t>
      </w:r>
      <w:r>
        <w:rPr>
          <w:rFonts w:ascii="仿宋" w:hAnsi="仿宋" w:eastAsia="仿宋" w:cs="仿宋"/>
          <w:color w:val="333333"/>
          <w:sz w:val="28"/>
          <w:szCs w:val="28"/>
          <w:highlight w:val="none"/>
          <w:shd w:val="clear" w:color="auto" w:fill="ffffff"/>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2.采购代理机构信息</w:t>
      </w:r>
      <w:r>
        <w:rPr>
          <w:rFonts w:hint="eastAsia" w:ascii="宋体" w:hAnsi="宋体" w:eastAsia="宋体" w:cs="宋体"/>
          <w:color w:val="333333"/>
          <w:highlight w:val="none"/>
          <w:shd w:val="clear" w:color="auto" w:fill="ffffff"/>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名 称：盐城市政府采购中心</w:t>
      </w:r>
      <w:r>
        <w:rPr>
          <w:rFonts w:hint="eastAsia" w:ascii="宋体" w:hAnsi="宋体" w:eastAsia="宋体" w:cs="宋体"/>
          <w:color w:val="333333"/>
          <w:highlight w:val="none"/>
          <w:shd w:val="clear" w:color="auto" w:fill="ffffff"/>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地 址：盐城市府西路1号市公共资源交易中心5楼</w:t>
      </w:r>
      <w:r>
        <w:rPr>
          <w:rFonts w:hint="eastAsia" w:ascii="宋体" w:hAnsi="宋体" w:eastAsia="宋体" w:cs="宋体"/>
          <w:color w:val="333333"/>
          <w:highlight w:val="none"/>
          <w:shd w:val="clear" w:color="auto" w:fill="ffffff"/>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联系人：</w:t>
      </w:r>
      <w:r>
        <w:rPr>
          <w:rFonts w:hint="eastAsia" w:ascii="宋体" w:hAnsi="宋体" w:eastAsia="宋体" w:cs="宋体"/>
          <w:color w:val="333333"/>
          <w:highlight w:val="none"/>
          <w:shd w:val="clear" w:color="auto" w:fill="ffffff"/>
          <w:lang w:val="en-US" w:eastAsia="zh-CN"/>
        </w:rPr>
        <w:t xml:space="preserve">倪女士</w:t>
      </w:r>
      <w:r>
        <w:rPr>
          <w:rFonts w:hint="eastAsia" w:ascii="宋体" w:hAnsi="宋体" w:eastAsia="宋体" w:cs="宋体"/>
          <w:color w:val="333333"/>
          <w:highlight w:val="none"/>
          <w:shd w:val="clear" w:color="auto" w:fill="ffffff"/>
        </w:rPr>
        <w:t xml:space="preserve">                     </w:t>
      </w:r>
      <w:r>
        <w:rPr>
          <w:rFonts w:hint="eastAsia" w:ascii="宋体" w:hAnsi="宋体" w:eastAsia="宋体" w:cs="宋体"/>
          <w:color w:val="333333"/>
          <w:highlight w:val="none"/>
          <w:shd w:val="clear" w:color="auto" w:fill="ffffff"/>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联系方式：0515-69083502                    </w:t>
      </w:r>
      <w:r>
        <w:rPr>
          <w:rFonts w:hint="eastAsia" w:ascii="宋体" w:hAnsi="宋体" w:eastAsia="宋体" w:cs="宋体"/>
          <w:color w:val="333333"/>
          <w:highlight w:val="none"/>
          <w:shd w:val="clear" w:color="auto" w:fill="ffffff"/>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color w:val="333333"/>
          <w:highlight w:val="none"/>
          <w:shd w:val="clear" w:color="auto" w:fill="ffffff"/>
        </w:rPr>
      </w:pPr>
      <w:r/>
      <w:bookmarkStart w:id="17" w:name="_Toc28359021"/>
      <w:r>
        <w:rPr>
          <w:rFonts w:hint="eastAsia" w:ascii="宋体" w:hAnsi="宋体" w:eastAsia="宋体" w:cs="宋体"/>
          <w:color w:val="333333"/>
          <w:highlight w:val="none"/>
          <w:shd w:val="clear" w:color="auto" w:fill="ffffff"/>
        </w:rPr>
        <w:t xml:space="preserve">3.</w:t>
      </w:r>
      <w:bookmarkEnd w:id="17"/>
      <w:r>
        <w:rPr>
          <w:rFonts w:hint="eastAsia" w:ascii="宋体" w:hAnsi="宋体" w:eastAsia="宋体" w:cs="宋体"/>
          <w:color w:val="333333"/>
          <w:highlight w:val="none"/>
          <w:shd w:val="clear" w:color="auto" w:fill="ffffff"/>
        </w:rPr>
        <w:t xml:space="preserve">项目联系方式</w:t>
      </w:r>
      <w:r>
        <w:rPr>
          <w:rFonts w:hint="eastAsia" w:ascii="宋体" w:hAnsi="宋体" w:eastAsia="宋体" w:cs="宋体"/>
          <w:color w:val="333333"/>
          <w:highlight w:val="none"/>
          <w:shd w:val="clear" w:color="auto" w:fill="ffffff"/>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联系人：</w:t>
      </w:r>
      <w:r>
        <w:rPr>
          <w:rFonts w:hint="eastAsia" w:ascii="宋体" w:hAnsi="宋体" w:eastAsia="宋体" w:cs="宋体"/>
          <w:color w:val="333333"/>
          <w:highlight w:val="none"/>
          <w:shd w:val="clear" w:color="auto" w:fill="ffffff"/>
          <w:lang w:val="en-US" w:eastAsia="zh-CN"/>
        </w:rPr>
        <w:t xml:space="preserve">倪女士</w:t>
      </w:r>
      <w:r>
        <w:rPr>
          <w:rFonts w:hint="eastAsia" w:ascii="宋体" w:hAnsi="宋体" w:eastAsia="宋体" w:cs="宋体"/>
          <w:color w:val="333333"/>
          <w:highlight w:val="none"/>
          <w:shd w:val="clear" w:color="auto" w:fill="ffffff"/>
        </w:rPr>
        <w:t xml:space="preserve"> </w:t>
      </w:r>
      <w:r>
        <w:rPr>
          <w:rFonts w:hint="eastAsia" w:ascii="宋体" w:hAnsi="宋体" w:eastAsia="宋体" w:cs="宋体"/>
          <w:color w:val="333333"/>
          <w:highlight w:val="none"/>
          <w:shd w:val="clear" w:color="auto" w:fill="ffffff"/>
        </w:rPr>
        <w:t xml:space="preserve">                    </w:t>
      </w:r>
      <w:r>
        <w:rPr>
          <w:rFonts w:hint="eastAsia" w:ascii="宋体" w:hAnsi="宋体" w:eastAsia="宋体" w:cs="宋体"/>
          <w:color w:val="333333"/>
          <w:highlight w:val="none"/>
          <w:shd w:val="clear" w:color="auto" w:fill="ffffff"/>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color w:val="333333"/>
          <w:highlight w:val="none"/>
          <w:shd w:val="clear" w:color="auto" w:fill="ffffff"/>
        </w:rPr>
        <w:t xml:space="preserve">联系方式：</w:t>
      </w:r>
      <w:r>
        <w:rPr>
          <w:rFonts w:hint="eastAsia" w:ascii="宋体" w:hAnsi="宋体" w:eastAsia="宋体" w:cs="宋体"/>
          <w:color w:val="333333"/>
          <w:highlight w:val="none"/>
          <w:shd w:val="clear" w:color="auto" w:fill="ffffff"/>
        </w:rPr>
        <w:t xml:space="preserve">0515-69083502</w:t>
      </w: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ind w:left="480" w:firstLine="480"/>
        <w:jc w:val="both"/>
        <w:spacing w:beforeAutospacing="0" w:afterAutospacing="0" w:line="4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r>
      <w:r/>
    </w:p>
    <w:p>
      <w:pPr>
        <w:pStyle w:val="779"/>
        <w:jc w:val="center"/>
        <w:keepNext/>
        <w:spacing w:beforeAutospacing="0" w:afterAutospacing="0"/>
        <w:rPr>
          <w:rFonts w:hint="eastAsia" w:ascii="黑体" w:hAnsi="宋体" w:eastAsia="黑体" w:cs="黑体"/>
          <w:color w:val="000000"/>
          <w:sz w:val="44"/>
          <w:szCs w:val="44"/>
          <w:highlight w:val="none"/>
        </w:rPr>
      </w:pPr>
      <w:r/>
      <w:r/>
      <w:r/>
      <w:r/>
      <w:r/>
      <w:r/>
      <w:r/>
      <w:r/>
      <w:r/>
      <w:r/>
      <w:r/>
      <w:r/>
      <w:r/>
      <w:r/>
      <w:r/>
      <w:r/>
      <w:r/>
      <w:r/>
      <w:r/>
      <w:r/>
      <w:r/>
      <w:r/>
      <w:r/>
      <w:r>
        <w:rPr>
          <w:rFonts w:hint="eastAsia" w:ascii="黑体" w:hAnsi="宋体" w:eastAsia="黑体" w:cs="黑体"/>
          <w:color w:val="000000"/>
          <w:sz w:val="44"/>
          <w:szCs w:val="44"/>
          <w:highlight w:val="none"/>
        </w:rPr>
        <w:t xml:space="preserve">第二章  </w:t>
      </w:r>
      <w:bookmarkStart w:id="41" w:name="_Toc513029202"/>
      <w:r/>
      <w:bookmarkStart w:id="42" w:name="_Toc120614213"/>
      <w:r/>
      <w:bookmarkStart w:id="43" w:name="_Toc20823274"/>
      <w:r/>
      <w:bookmarkStart w:id="44" w:name="_Toc16938518"/>
      <w:r>
        <w:rPr>
          <w:rFonts w:hint="eastAsia" w:ascii="黑体" w:hAnsi="宋体" w:eastAsia="黑体" w:cs="黑体"/>
          <w:color w:val="000000"/>
          <w:sz w:val="44"/>
          <w:szCs w:val="44"/>
          <w:highlight w:val="none"/>
        </w:rPr>
        <w:t xml:space="preserve">投标人须知</w:t>
      </w:r>
      <w:bookmarkEnd w:id="41"/>
      <w:r/>
      <w:bookmarkEnd w:id="42"/>
      <w:r/>
      <w:bookmarkEnd w:id="43"/>
      <w:r/>
      <w:bookmarkEnd w:id="44"/>
      <w:r>
        <w:rPr>
          <w:rFonts w:hint="eastAsia" w:ascii="黑体" w:hAnsi="宋体" w:eastAsia="黑体" w:cs="黑体"/>
          <w:color w:val="000000"/>
          <w:sz w:val="44"/>
          <w:szCs w:val="44"/>
          <w:highlight w:val="none"/>
        </w:rPr>
      </w:r>
      <w:r/>
    </w:p>
    <w:p>
      <w:pPr>
        <w:pStyle w:val="834"/>
        <w:ind w:firstLine="643"/>
        <w:spacing w:before="156" w:beforeAutospacing="0" w:after="156" w:afterAutospacing="0" w:line="480" w:lineRule="exact"/>
        <w:rPr>
          <w:highlight w:val="none"/>
        </w:rPr>
      </w:pPr>
      <w:r>
        <w:rPr>
          <w:rFonts w:ascii="Times New Roman" w:hAnsi="Times New Roman"/>
          <w:b/>
          <w:sz w:val="32"/>
          <w:szCs w:val="32"/>
          <w:highlight w:val="none"/>
        </w:rPr>
        <w:t xml:space="preserve">一、总则</w:t>
      </w:r>
      <w:r>
        <w:rPr>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45" w:name="_Toc16938520"/>
      <w:r/>
      <w:bookmarkStart w:id="46" w:name="_Toc458694821"/>
      <w:r/>
      <w:bookmarkStart w:id="47" w:name="_Toc20823276"/>
      <w:r/>
      <w:bookmarkStart w:id="48" w:name="_Toc513029204"/>
      <w:r/>
      <w:bookmarkStart w:id="49" w:name="_Hlt16619350"/>
      <w:r/>
      <w:bookmarkStart w:id="50" w:name="_Toc20823346"/>
      <w:r/>
      <w:bookmarkStart w:id="51" w:name="_Toc16938590"/>
      <w:r/>
      <w:r/>
      <w:bookmarkStart w:id="53" w:name="_Toc513029243"/>
      <w:r/>
      <w:bookmarkStart w:id="54" w:name="_Toc20823315"/>
      <w:r/>
      <w:bookmarkStart w:id="55" w:name="_Toc16938559"/>
      <w:r/>
      <w:bookmarkStart w:id="56" w:name="_Toc479757211"/>
      <w:r/>
      <w:bookmarkStart w:id="57" w:name="_Toc120614244"/>
      <w:r/>
      <w:bookmarkStart w:id="58" w:name="_Toc462564139"/>
      <w:r>
        <w:rPr>
          <w:rFonts w:hint="eastAsia" w:ascii="宋体" w:hAnsi="宋体" w:eastAsia="宋体" w:cs="宋体"/>
          <w:color w:val="000000"/>
          <w:sz w:val="24"/>
          <w:szCs w:val="24"/>
          <w:highlight w:val="none"/>
        </w:rPr>
        <w:t xml:space="preserve">1</w:t>
      </w:r>
      <w:bookmarkEnd w:id="45"/>
      <w:r>
        <w:rPr>
          <w:rFonts w:hint="eastAsia" w:ascii="宋体" w:hAnsi="宋体" w:eastAsia="宋体" w:cs="宋体"/>
          <w:color w:val="000000"/>
          <w:sz w:val="24"/>
          <w:szCs w:val="24"/>
          <w:highlight w:val="none"/>
        </w:rPr>
        <w:t xml:space="preserve">、招标方式</w:t>
      </w:r>
      <w:bookmarkEnd w:id="46"/>
      <w:r/>
      <w:bookmarkEnd w:id="47"/>
      <w:r/>
      <w:bookmarkEnd w:id="48"/>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59" w:name="_Toc513029205"/>
      <w:r/>
      <w:bookmarkStart w:id="60" w:name="_Toc16938521"/>
      <w:r/>
      <w:bookmarkStart w:id="61" w:name="_Toc20823277"/>
      <w:r>
        <w:rPr>
          <w:rFonts w:hint="eastAsia" w:ascii="宋体" w:hAnsi="宋体" w:eastAsia="宋体" w:cs="宋体"/>
          <w:color w:val="000000"/>
          <w:sz w:val="24"/>
          <w:szCs w:val="24"/>
          <w:highlight w:val="none"/>
        </w:rPr>
        <w:t xml:space="preserve">2、合格的投标人</w:t>
      </w:r>
      <w:bookmarkEnd w:id="59"/>
      <w:r/>
      <w:bookmarkEnd w:id="60"/>
      <w:r/>
      <w:bookmarkEnd w:id="61"/>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62" w:name="_Toc16938522"/>
      <w:r/>
      <w:bookmarkStart w:id="63" w:name="_Toc20823278"/>
      <w:r/>
      <w:bookmarkStart w:id="64" w:name="_Toc513029206"/>
      <w:r>
        <w:rPr>
          <w:rFonts w:hint="eastAsia" w:ascii="宋体" w:hAnsi="宋体" w:eastAsia="宋体" w:cs="宋体"/>
          <w:color w:val="000000"/>
          <w:sz w:val="24"/>
          <w:szCs w:val="24"/>
          <w:highlight w:val="none"/>
        </w:rPr>
        <w:t xml:space="preserve">3、适用法律</w:t>
      </w:r>
      <w:bookmarkEnd w:id="62"/>
      <w:r/>
      <w:bookmarkEnd w:id="63"/>
      <w:r/>
      <w:bookmarkEnd w:id="64"/>
      <w:r>
        <w:rPr>
          <w:rFonts w:hint="eastAsia" w:ascii="宋体" w:hAnsi="宋体" w:eastAsia="宋体" w:cs="宋体"/>
          <w:sz w:val="24"/>
          <w:szCs w:val="24"/>
          <w:highlight w:val="none"/>
        </w:rPr>
      </w:r>
      <w:r/>
    </w:p>
    <w:p>
      <w:pPr>
        <w:pStyle w:val="779"/>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rPr>
          <w:rFonts w:hint="eastAsia" w:ascii="宋体" w:hAnsi="宋体" w:eastAsia="宋体" w:cs="宋体"/>
          <w:sz w:val="24"/>
          <w:szCs w:val="24"/>
          <w:highlight w:val="none"/>
        </w:rPr>
      </w:r>
      <w:r/>
    </w:p>
    <w:p>
      <w:pPr>
        <w:pStyle w:val="779"/>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rPr>
          <w:rFonts w:hint="eastAsia" w:ascii="宋体" w:hAnsi="宋体" w:eastAsia="宋体" w:cs="宋体"/>
          <w:sz w:val="24"/>
          <w:szCs w:val="24"/>
          <w:highlight w:val="none"/>
        </w:rPr>
      </w:r>
      <w:r/>
    </w:p>
    <w:p>
      <w:pPr>
        <w:pStyle w:val="779"/>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5" w:name="_Toc513029209"/>
      <w:r/>
      <w:bookmarkStart w:id="66" w:name="_Toc20823281"/>
      <w:r/>
      <w:bookmarkStart w:id="67" w:name="_Toc120614215"/>
      <w:r/>
      <w:bookmarkStart w:id="68" w:name="_Toc16938525"/>
      <w:r>
        <w:rPr>
          <w:rFonts w:hint="eastAsia" w:ascii="宋体" w:hAnsi="宋体" w:eastAsia="宋体" w:cs="宋体"/>
          <w:b/>
          <w:color w:val="000000"/>
          <w:sz w:val="24"/>
          <w:szCs w:val="24"/>
          <w:highlight w:val="none"/>
        </w:rPr>
        <w:t xml:space="preserve">二、招标文件</w:t>
      </w:r>
      <w:bookmarkEnd w:id="65"/>
      <w:r/>
      <w:bookmarkEnd w:id="66"/>
      <w:r/>
      <w:bookmarkEnd w:id="67"/>
      <w:r/>
      <w:bookmarkEnd w:id="68"/>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69" w:name="_Toc20823282"/>
      <w:r/>
      <w:bookmarkStart w:id="70" w:name="_Toc513029210"/>
      <w:r/>
      <w:bookmarkStart w:id="71" w:name="_Toc16938526"/>
      <w:r>
        <w:rPr>
          <w:rFonts w:hint="eastAsia" w:ascii="宋体" w:hAnsi="宋体" w:eastAsia="宋体" w:cs="宋体"/>
          <w:color w:val="000000"/>
          <w:sz w:val="24"/>
          <w:szCs w:val="24"/>
          <w:highlight w:val="none"/>
        </w:rPr>
        <w:t xml:space="preserve">6、招标文件构成</w:t>
      </w:r>
      <w:bookmarkEnd w:id="69"/>
      <w:r/>
      <w:bookmarkEnd w:id="70"/>
      <w:r/>
      <w:bookmarkEnd w:id="71"/>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779"/>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sz w:val="24"/>
          <w:szCs w:val="24"/>
          <w:highlight w:val="none"/>
          <w:lang w:val="en-US" w:eastAsia="zh-CN"/>
        </w:rPr>
      </w:r>
      <w:r/>
    </w:p>
    <w:p>
      <w:pPr>
        <w:pStyle w:val="77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sz w:val="24"/>
          <w:szCs w:val="24"/>
          <w:highlight w:val="none"/>
        </w:rPr>
      </w:r>
      <w:r/>
    </w:p>
    <w:p>
      <w:pPr>
        <w:pStyle w:val="77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77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779"/>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77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779"/>
        <w:ind w:firstLine="560"/>
        <w:jc w:val="both"/>
        <w:keepLines/>
        <w:keepNext/>
        <w:spacing w:beforeAutospacing="0" w:afterAutospacing="0"/>
        <w:rPr>
          <w:rFonts w:hint="eastAsia" w:ascii="宋体" w:hAnsi="宋体" w:eastAsia="宋体" w:cs="宋体"/>
          <w:sz w:val="24"/>
          <w:szCs w:val="24"/>
          <w:highlight w:val="none"/>
        </w:rPr>
      </w:pPr>
      <w:r/>
      <w:bookmarkStart w:id="72" w:name="_Toc513029211"/>
      <w:r/>
      <w:bookmarkStart w:id="73" w:name="_Toc462564070"/>
      <w:r/>
      <w:bookmarkStart w:id="74" w:name="_Toc20823283"/>
      <w:r/>
      <w:bookmarkStart w:id="75" w:name="_Toc16938527"/>
      <w:r>
        <w:rPr>
          <w:rFonts w:hint="eastAsia" w:ascii="宋体" w:hAnsi="宋体" w:eastAsia="宋体" w:cs="宋体"/>
          <w:color w:val="000000"/>
          <w:sz w:val="24"/>
          <w:szCs w:val="24"/>
          <w:highlight w:val="none"/>
        </w:rPr>
        <w:t xml:space="preserve">7、招标文件的澄清</w:t>
      </w:r>
      <w:bookmarkEnd w:id="72"/>
      <w:r/>
      <w:bookmarkEnd w:id="73"/>
      <w:r/>
      <w:bookmarkEnd w:id="74"/>
      <w:r/>
      <w:bookmarkEnd w:id="75"/>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rPr>
          <w:rFonts w:hint="eastAsia" w:ascii="宋体" w:hAnsi="宋体" w:eastAsia="宋体" w:cs="宋体"/>
          <w:sz w:val="24"/>
          <w:szCs w:val="24"/>
          <w:highlight w:val="none"/>
        </w:rPr>
      </w:r>
      <w:r/>
    </w:p>
    <w:p>
      <w:pPr>
        <w:pStyle w:val="779"/>
        <w:ind w:firstLine="560"/>
        <w:jc w:val="both"/>
        <w:keepLines/>
        <w:keepNext/>
        <w:spacing w:beforeAutospacing="0" w:afterAutospacing="0"/>
        <w:rPr>
          <w:rFonts w:hint="eastAsia" w:ascii="宋体" w:hAnsi="宋体" w:eastAsia="宋体" w:cs="宋体"/>
          <w:sz w:val="24"/>
          <w:szCs w:val="24"/>
          <w:highlight w:val="none"/>
        </w:rPr>
      </w:pPr>
      <w:r/>
      <w:bookmarkStart w:id="76" w:name="_Toc16938528"/>
      <w:r/>
      <w:bookmarkStart w:id="77" w:name="_Toc462564071"/>
      <w:r/>
      <w:bookmarkStart w:id="78" w:name="_Toc513029212"/>
      <w:r/>
      <w:bookmarkStart w:id="79" w:name="_Toc20823284"/>
      <w:r>
        <w:rPr>
          <w:rFonts w:hint="eastAsia" w:ascii="宋体" w:hAnsi="宋体" w:eastAsia="宋体" w:cs="宋体"/>
          <w:color w:val="000000"/>
          <w:sz w:val="24"/>
          <w:szCs w:val="24"/>
          <w:highlight w:val="none"/>
        </w:rPr>
        <w:t xml:space="preserve">8、招标文件的修改</w:t>
      </w:r>
      <w:bookmarkEnd w:id="76"/>
      <w:r/>
      <w:bookmarkEnd w:id="77"/>
      <w:r/>
      <w:bookmarkEnd w:id="78"/>
      <w:r/>
      <w:bookmarkEnd w:id="79"/>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0"/>
          <w:highlight w:val="none"/>
        </w:rPr>
        <w:t xml:space="preserve">“</w:t>
      </w:r>
      <w:r>
        <w:rPr>
          <w:rFonts w:hint="eastAsia" w:ascii="宋体" w:hAnsi="宋体" w:eastAsia="Arial" w:cs="宋体"/>
          <w:color w:val="000000"/>
          <w:sz w:val="24"/>
          <w:szCs w:val="20"/>
          <w:highlight w:val="none"/>
        </w:rPr>
        <w:t xml:space="preserve">中国政府采购网</w:t>
      </w:r>
      <w:r>
        <w:rPr>
          <w:rFonts w:hint="eastAsia" w:ascii="宋体" w:hAnsi="宋体" w:eastAsia="宋体" w:cs="宋体"/>
          <w:color w:val="000000"/>
          <w:sz w:val="24"/>
          <w:szCs w:val="20"/>
          <w:highlight w:val="none"/>
        </w:rPr>
        <w:t xml:space="preserve">”</w:t>
      </w:r>
      <w:r>
        <w:rPr>
          <w:rFonts w:hint="eastAsia" w:ascii="宋体" w:hAnsi="宋体" w:eastAsia="Arial" w:cs="宋体"/>
          <w:color w:val="000000"/>
          <w:sz w:val="24"/>
          <w:szCs w:val="20"/>
          <w:highlight w:val="none"/>
        </w:rPr>
        <w:t xml:space="preserve">、</w:t>
      </w:r>
      <w:r>
        <w:rPr>
          <w:rFonts w:hint="eastAsia" w:ascii="宋体" w:hAnsi="宋体" w:eastAsia="宋体" w:cs="宋体"/>
          <w:color w:val="000000"/>
          <w:sz w:val="24"/>
          <w:szCs w:val="20"/>
          <w:highlight w:val="none"/>
        </w:rPr>
        <w:t xml:space="preserve">“</w:t>
      </w:r>
      <w:r>
        <w:rPr>
          <w:rFonts w:hint="eastAsia" w:ascii="宋体" w:hAnsi="宋体" w:eastAsia="Arial" w:cs="宋体"/>
          <w:color w:val="000000"/>
          <w:sz w:val="24"/>
          <w:szCs w:val="20"/>
          <w:highlight w:val="none"/>
        </w:rPr>
        <w:t xml:space="preserve">江苏政府采购网</w:t>
      </w:r>
      <w:r>
        <w:rPr>
          <w:rFonts w:hint="eastAsia" w:ascii="宋体" w:hAnsi="宋体" w:eastAsia="宋体" w:cs="宋体"/>
          <w:color w:val="000000"/>
          <w:sz w:val="24"/>
          <w:szCs w:val="20"/>
          <w:highlight w:val="none"/>
        </w:rPr>
        <w:t xml:space="preserve">”</w:t>
      </w:r>
      <w:r>
        <w:rPr>
          <w:rFonts w:hint="eastAsia" w:ascii="宋体" w:hAnsi="宋体" w:eastAsia="Arial" w:cs="宋体"/>
          <w:color w:val="000000"/>
          <w:sz w:val="24"/>
          <w:szCs w:val="20"/>
          <w:highlight w:val="none"/>
        </w:rPr>
        <w:t xml:space="preserve">、</w:t>
      </w:r>
      <w:r>
        <w:rPr>
          <w:rFonts w:hint="eastAsia" w:ascii="宋体" w:hAnsi="宋体" w:eastAsia="宋体" w:cs="宋体"/>
          <w:color w:val="000000"/>
          <w:sz w:val="24"/>
          <w:szCs w:val="20"/>
          <w:highlight w:val="none"/>
        </w:rPr>
        <w:t xml:space="preserve">“盐城市</w:t>
      </w:r>
      <w:r>
        <w:rPr>
          <w:rFonts w:hint="eastAsia" w:ascii="宋体" w:hAnsi="宋体" w:eastAsia="Arial" w:cs="宋体"/>
          <w:color w:val="000000"/>
          <w:sz w:val="24"/>
          <w:szCs w:val="20"/>
          <w:highlight w:val="none"/>
        </w:rPr>
        <w:t xml:space="preserve">政府采购网</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sz w:val="24"/>
          <w:szCs w:val="24"/>
          <w:highlight w:val="none"/>
        </w:rPr>
      </w:r>
      <w:r/>
    </w:p>
    <w:p>
      <w:pPr>
        <w:pStyle w:val="779"/>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80" w:name="_Toc20823285"/>
      <w:r/>
      <w:bookmarkStart w:id="81" w:name="_Toc462564072"/>
      <w:r/>
      <w:bookmarkStart w:id="82" w:name="_Toc120614216"/>
      <w:r/>
      <w:bookmarkStart w:id="83" w:name="_Toc16938529"/>
      <w:r/>
      <w:bookmarkStart w:id="84" w:name="_Toc513029213"/>
      <w:r>
        <w:rPr>
          <w:rFonts w:hint="eastAsia" w:ascii="宋体" w:hAnsi="宋体" w:eastAsia="宋体" w:cs="宋体"/>
          <w:b/>
          <w:color w:val="000000"/>
          <w:sz w:val="24"/>
          <w:szCs w:val="24"/>
          <w:highlight w:val="none"/>
        </w:rPr>
        <w:t xml:space="preserve">三、投标文件的编制</w:t>
      </w:r>
      <w:bookmarkEnd w:id="80"/>
      <w:r/>
      <w:bookmarkEnd w:id="81"/>
      <w:r/>
      <w:bookmarkEnd w:id="82"/>
      <w:r/>
      <w:bookmarkEnd w:id="83"/>
      <w:r/>
      <w:bookmarkEnd w:id="84"/>
      <w:r>
        <w:rPr>
          <w:rFonts w:hint="eastAsia" w:ascii="宋体" w:hAnsi="宋体" w:eastAsia="宋体" w:cs="宋体"/>
          <w:sz w:val="24"/>
          <w:szCs w:val="24"/>
          <w:highlight w:val="none"/>
        </w:rPr>
      </w:r>
      <w:r/>
    </w:p>
    <w:p>
      <w:pPr>
        <w:pStyle w:val="779"/>
        <w:ind w:firstLine="560"/>
        <w:jc w:val="both"/>
        <w:keepLines/>
        <w:keepNext/>
        <w:spacing w:beforeAutospacing="0" w:afterAutospacing="0"/>
        <w:rPr>
          <w:rFonts w:hint="eastAsia" w:ascii="宋体" w:hAnsi="宋体" w:eastAsia="宋体" w:cs="宋体"/>
          <w:sz w:val="24"/>
          <w:szCs w:val="24"/>
          <w:highlight w:val="none"/>
        </w:rPr>
      </w:pPr>
      <w:r/>
      <w:bookmarkStart w:id="85" w:name="_Toc513029214"/>
      <w:r/>
      <w:bookmarkStart w:id="86" w:name="_Toc20823286"/>
      <w:r/>
      <w:bookmarkStart w:id="87" w:name="_Toc16938530"/>
      <w:r/>
      <w:bookmarkStart w:id="88" w:name="_Toc462564073"/>
      <w:r>
        <w:rPr>
          <w:rFonts w:hint="eastAsia" w:ascii="宋体" w:hAnsi="宋体" w:eastAsia="宋体" w:cs="宋体"/>
          <w:color w:val="000000"/>
          <w:sz w:val="24"/>
          <w:szCs w:val="24"/>
          <w:highlight w:val="none"/>
        </w:rPr>
        <w:t xml:space="preserve">9、投标文件的语言及度量衡单位</w:t>
      </w:r>
      <w:bookmarkEnd w:id="85"/>
      <w:r/>
      <w:bookmarkEnd w:id="86"/>
      <w:r/>
      <w:bookmarkEnd w:id="87"/>
      <w:r/>
      <w:bookmarkEnd w:id="88"/>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89" w:name="_Toc16938531"/>
      <w:r/>
      <w:bookmarkStart w:id="90" w:name="_Toc20823287"/>
      <w:r/>
      <w:bookmarkStart w:id="91" w:name="_Toc513029215"/>
      <w:r/>
      <w:bookmarkStart w:id="92" w:name="_Toc462564074"/>
      <w:r>
        <w:rPr>
          <w:rFonts w:hint="eastAsia" w:ascii="宋体" w:hAnsi="宋体" w:eastAsia="宋体" w:cs="宋体"/>
          <w:color w:val="000000"/>
          <w:sz w:val="24"/>
          <w:szCs w:val="24"/>
          <w:highlight w:val="none"/>
        </w:rPr>
        <w:t xml:space="preserve">10、投标文件构成</w:t>
      </w:r>
      <w:bookmarkEnd w:id="89"/>
      <w:r/>
      <w:bookmarkEnd w:id="90"/>
      <w:r/>
      <w:bookmarkEnd w:id="91"/>
      <w:r/>
      <w:bookmarkEnd w:id="92"/>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93" w:name="_Toc513029219"/>
      <w:r/>
      <w:bookmarkStart w:id="94" w:name="_Toc513029216"/>
      <w:r/>
      <w:bookmarkStart w:id="95" w:name="_Toc49090507"/>
      <w:r/>
      <w:bookmarkStart w:id="96" w:name="_Toc14577357"/>
      <w:r/>
      <w:bookmarkStart w:id="97" w:name="_Toc49090509"/>
      <w:r/>
      <w:bookmarkStart w:id="98" w:name="_Toc14577354"/>
      <w:r>
        <w:rPr>
          <w:rFonts w:hint="eastAsia" w:ascii="宋体" w:hAnsi="宋体" w:eastAsia="宋体" w:cs="宋体"/>
          <w:color w:val="000000"/>
          <w:sz w:val="24"/>
          <w:szCs w:val="24"/>
          <w:highlight w:val="none"/>
        </w:rPr>
        <w:t xml:space="preserve">11、证明投标人及投标标的符合招标文件规定的文件</w:t>
      </w:r>
      <w:bookmarkEnd w:id="93"/>
      <w:r/>
      <w:bookmarkEnd w:id="94"/>
      <w:r/>
      <w:bookmarkEnd w:id="95"/>
      <w:r/>
      <w:bookmarkEnd w:id="96"/>
      <w:r/>
      <w:bookmarkEnd w:id="97"/>
      <w:r/>
      <w:bookmarkEnd w:id="98"/>
      <w:r>
        <w:rPr>
          <w:rFonts w:hint="eastAsia" w:ascii="宋体" w:hAnsi="宋体" w:eastAsia="宋体" w:cs="宋体"/>
          <w:sz w:val="24"/>
          <w:szCs w:val="24"/>
          <w:highlight w:val="none"/>
        </w:rPr>
      </w:r>
      <w:r/>
    </w:p>
    <w:p>
      <w:pPr>
        <w:pStyle w:val="779"/>
        <w:jc w:val="both"/>
        <w:spacing w:beforeAutospacing="0" w:afterAutospacing="0" w:line="0" w:lineRule="atLeast"/>
        <w:rPr>
          <w:rFonts w:hint="eastAsia" w:ascii="宋体" w:hAnsi="宋体" w:eastAsia="宋体" w:cs="宋体"/>
          <w:sz w:val="24"/>
          <w:szCs w:val="24"/>
          <w:highlight w:val="none"/>
        </w:rPr>
      </w:pPr>
      <w:r/>
      <w:bookmarkStart w:id="99" w:name="_Toc49090508"/>
      <w:r/>
      <w:bookmarkStart w:id="100" w:name="_Toc14577355"/>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9"/>
      <w:r/>
      <w:bookmarkEnd w:id="100"/>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rPr>
          <w:rFonts w:hint="eastAsia" w:ascii="宋体" w:hAnsi="宋体" w:eastAsia="宋体" w:cs="宋体"/>
          <w:sz w:val="24"/>
          <w:szCs w:val="24"/>
          <w:highlight w:val="none"/>
        </w:rPr>
      </w:r>
      <w:r/>
    </w:p>
    <w:p>
      <w:pPr>
        <w:pStyle w:val="779"/>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101" w:name="_Toc14577359"/>
      <w:r/>
      <w:bookmarkStart w:id="102" w:name="_Toc49090510"/>
      <w:r>
        <w:rPr>
          <w:rFonts w:hint="eastAsia" w:ascii="宋体" w:hAnsi="宋体" w:eastAsia="宋体" w:cs="宋体"/>
          <w:color w:val="000000"/>
          <w:sz w:val="24"/>
          <w:szCs w:val="24"/>
          <w:highlight w:val="none"/>
        </w:rPr>
        <w:t xml:space="preserve">14、投标函和开标一览表</w:t>
      </w:r>
      <w:bookmarkEnd w:id="101"/>
      <w:r/>
      <w:bookmarkEnd w:id="102"/>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103" w:name="_Toc49090511"/>
      <w:r/>
      <w:bookmarkStart w:id="104" w:name="_Toc14577360"/>
      <w:r>
        <w:rPr>
          <w:rFonts w:hint="eastAsia" w:ascii="宋体" w:hAnsi="宋体" w:eastAsia="宋体" w:cs="宋体"/>
          <w:color w:val="000000"/>
          <w:sz w:val="24"/>
          <w:szCs w:val="24"/>
          <w:highlight w:val="none"/>
        </w:rPr>
        <w:t xml:space="preserve">15、投标有效期</w:t>
      </w:r>
      <w:bookmarkEnd w:id="103"/>
      <w:r/>
      <w:bookmarkEnd w:id="104"/>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sz w:val="24"/>
          <w:szCs w:val="24"/>
          <w:highlight w:val="none"/>
        </w:rPr>
      </w:r>
      <w:r/>
    </w:p>
    <w:p>
      <w:pPr>
        <w:pStyle w:val="779"/>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5" w:name="_Toc16938540"/>
      <w:r/>
      <w:bookmarkStart w:id="106" w:name="_Toc513029224"/>
      <w:r/>
      <w:bookmarkStart w:id="107" w:name="_Toc20823296"/>
      <w:r/>
      <w:bookmarkStart w:id="108" w:name="_Toc120614217"/>
      <w:r>
        <w:rPr>
          <w:rFonts w:hint="eastAsia" w:ascii="宋体" w:hAnsi="宋体" w:eastAsia="宋体" w:cs="宋体"/>
          <w:b/>
          <w:color w:val="000000"/>
          <w:sz w:val="24"/>
          <w:szCs w:val="24"/>
          <w:highlight w:val="none"/>
        </w:rPr>
        <w:t xml:space="preserve">四、投标文件的递交</w:t>
      </w:r>
      <w:bookmarkEnd w:id="105"/>
      <w:r/>
      <w:bookmarkEnd w:id="106"/>
      <w:r/>
      <w:bookmarkEnd w:id="107"/>
      <w:r/>
      <w:bookmarkEnd w:id="108"/>
      <w:r>
        <w:rPr>
          <w:rFonts w:hint="eastAsia" w:ascii="宋体" w:hAnsi="宋体" w:eastAsia="宋体" w:cs="宋体"/>
          <w:sz w:val="24"/>
          <w:szCs w:val="24"/>
          <w:highlight w:val="none"/>
        </w:rPr>
      </w:r>
      <w:r/>
    </w:p>
    <w:p>
      <w:pPr>
        <w:pStyle w:val="779"/>
        <w:ind w:firstLine="560"/>
        <w:jc w:val="both"/>
        <w:keepLines/>
        <w:keepNext/>
        <w:spacing w:beforeAutospacing="0" w:afterAutospacing="0"/>
        <w:rPr>
          <w:rFonts w:hint="eastAsia" w:ascii="宋体" w:hAnsi="宋体" w:eastAsia="宋体" w:cs="宋体"/>
          <w:sz w:val="24"/>
          <w:szCs w:val="24"/>
          <w:highlight w:val="none"/>
        </w:rPr>
      </w:pPr>
      <w:r/>
      <w:bookmarkStart w:id="109" w:name="_Toc513029225"/>
      <w:r/>
      <w:bookmarkStart w:id="110" w:name="_Toc20823297"/>
      <w:r/>
      <w:bookmarkStart w:id="111" w:name="_Toc462564084"/>
      <w:r/>
      <w:bookmarkStart w:id="112" w:name="_Toc16938541"/>
      <w:r>
        <w:rPr>
          <w:rFonts w:hint="eastAsia" w:ascii="宋体" w:hAnsi="宋体" w:eastAsia="宋体" w:cs="宋体"/>
          <w:color w:val="000000"/>
          <w:sz w:val="24"/>
          <w:szCs w:val="24"/>
          <w:highlight w:val="none"/>
        </w:rPr>
        <w:t xml:space="preserve">17、投标文件</w:t>
      </w:r>
      <w:bookmarkEnd w:id="109"/>
      <w:r/>
      <w:bookmarkEnd w:id="110"/>
      <w:r/>
      <w:bookmarkEnd w:id="111"/>
      <w:r/>
      <w:bookmarkEnd w:id="112"/>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13" w:name="_Toc20823298"/>
      <w:r/>
      <w:bookmarkEnd w:id="113"/>
      <w:r/>
      <w:bookmarkStart w:id="114" w:name="_Toc16938542"/>
      <w:r/>
      <w:bookmarkEnd w:id="114"/>
      <w:r>
        <w:rPr>
          <w:rFonts w:hint="eastAsia" w:ascii="宋体" w:hAnsi="宋体" w:eastAsia="宋体" w:cs="宋体"/>
          <w:color w:val="000000"/>
          <w:sz w:val="24"/>
          <w:szCs w:val="24"/>
          <w:highlight w:val="none"/>
        </w:rPr>
      </w:r>
      <w:r/>
    </w:p>
    <w:p>
      <w:pPr>
        <w:pStyle w:val="779"/>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115" w:name="_Toc20823299"/>
      <w:r/>
      <w:bookmarkStart w:id="116" w:name="_Toc16938543"/>
      <w:r/>
      <w:bookmarkStart w:id="117" w:name="_Toc513029227"/>
      <w:r>
        <w:rPr>
          <w:rFonts w:hint="eastAsia" w:ascii="宋体" w:hAnsi="宋体" w:eastAsia="宋体" w:cs="宋体"/>
          <w:color w:val="000000"/>
          <w:sz w:val="24"/>
          <w:szCs w:val="24"/>
          <w:highlight w:val="none"/>
        </w:rPr>
        <w:t xml:space="preserve">19、投标文件</w:t>
      </w:r>
      <w:bookmarkEnd w:id="115"/>
      <w:r/>
      <w:bookmarkEnd w:id="116"/>
      <w:r/>
      <w:bookmarkEnd w:id="117"/>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118" w:name="_Toc20823300"/>
      <w:r/>
      <w:bookmarkStart w:id="119" w:name="_Toc513029228"/>
      <w:r/>
      <w:bookmarkStart w:id="120" w:name="_Toc16938544"/>
      <w:r>
        <w:rPr>
          <w:rFonts w:hint="eastAsia" w:ascii="宋体" w:hAnsi="宋体" w:eastAsia="宋体" w:cs="宋体"/>
          <w:color w:val="000000"/>
          <w:sz w:val="24"/>
          <w:szCs w:val="24"/>
          <w:highlight w:val="none"/>
        </w:rPr>
        <w:t xml:space="preserve">20、投标文件的撤回和修改</w:t>
      </w:r>
      <w:bookmarkEnd w:id="118"/>
      <w:r/>
      <w:bookmarkEnd w:id="119"/>
      <w:r/>
      <w:bookmarkEnd w:id="120"/>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779"/>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1" w:name="_Toc513029229"/>
      <w:r/>
      <w:bookmarkStart w:id="122" w:name="_Toc120614218"/>
      <w:r/>
      <w:bookmarkStart w:id="123" w:name="_Toc20823301"/>
      <w:r/>
      <w:bookmarkStart w:id="124" w:name="_Toc16938545"/>
      <w:r>
        <w:rPr>
          <w:rFonts w:hint="eastAsia" w:ascii="宋体" w:hAnsi="宋体" w:eastAsia="宋体" w:cs="宋体"/>
          <w:b/>
          <w:color w:val="000000"/>
          <w:sz w:val="24"/>
          <w:szCs w:val="24"/>
          <w:highlight w:val="none"/>
        </w:rPr>
        <w:t xml:space="preserve">五、开标与评标</w:t>
      </w:r>
      <w:bookmarkEnd w:id="121"/>
      <w:r/>
      <w:bookmarkEnd w:id="122"/>
      <w:r/>
      <w:bookmarkEnd w:id="123"/>
      <w:r/>
      <w:bookmarkEnd w:id="124"/>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color w:val="000000"/>
          <w:sz w:val="24"/>
          <w:szCs w:val="24"/>
          <w:highlight w:val="none"/>
        </w:rPr>
      </w:pPr>
      <w:r/>
      <w:bookmarkStart w:id="125" w:name="_Toc16938546"/>
      <w:r/>
      <w:bookmarkStart w:id="126" w:name="_Toc20823302"/>
      <w:r/>
      <w:bookmarkStart w:id="127" w:name="_Toc513029230"/>
      <w:r>
        <w:rPr>
          <w:rFonts w:hint="eastAsia" w:ascii="宋体" w:hAnsi="宋体" w:eastAsia="宋体" w:cs="宋体"/>
          <w:color w:val="000000"/>
          <w:sz w:val="24"/>
          <w:szCs w:val="24"/>
          <w:highlight w:val="none"/>
        </w:rPr>
        <w:t xml:space="preserve">21、开标</w:t>
      </w:r>
      <w:bookmarkEnd w:id="125"/>
      <w:r/>
      <w:bookmarkEnd w:id="126"/>
      <w:r/>
      <w:bookmarkEnd w:id="127"/>
      <w:r>
        <w:rPr>
          <w:rFonts w:hint="eastAsia" w:ascii="宋体" w:hAnsi="宋体" w:eastAsia="宋体" w:cs="宋体"/>
          <w:color w:val="000000"/>
          <w:sz w:val="24"/>
          <w:szCs w:val="24"/>
          <w:highlight w:val="none"/>
        </w:rPr>
      </w:r>
      <w:r/>
    </w:p>
    <w:p>
      <w:pPr>
        <w:pStyle w:val="779"/>
        <w:ind w:firstLine="36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779"/>
        <w:ind w:firstLine="420"/>
        <w:jc w:val="both"/>
        <w:keepLines/>
        <w:keepNext/>
        <w:spacing w:beforeAutospacing="0" w:afterAutospacing="0"/>
        <w:rPr>
          <w:rFonts w:hint="eastAsia" w:ascii="宋体" w:hAnsi="宋体" w:eastAsia="宋体" w:cs="宋体"/>
          <w:color w:val="000000"/>
          <w:sz w:val="24"/>
          <w:szCs w:val="24"/>
          <w:highlight w:val="none"/>
        </w:rPr>
      </w:pPr>
      <w:r/>
      <w:bookmarkStart w:id="128" w:name="_Toc513029231"/>
      <w:r/>
      <w:bookmarkStart w:id="129" w:name="_Toc16938547"/>
      <w:r/>
      <w:bookmarkStart w:id="130" w:name="_Toc20823303"/>
      <w:r>
        <w:rPr>
          <w:rFonts w:hint="eastAsia" w:ascii="宋体" w:hAnsi="宋体" w:eastAsia="宋体" w:cs="宋体"/>
          <w:color w:val="000000"/>
          <w:sz w:val="24"/>
          <w:szCs w:val="24"/>
          <w:highlight w:val="none"/>
        </w:rPr>
        <w:t xml:space="preserve">22、评标委员会</w:t>
      </w:r>
      <w:bookmarkEnd w:id="128"/>
      <w:r/>
      <w:bookmarkEnd w:id="129"/>
      <w:r/>
      <w:bookmarkEnd w:id="130"/>
      <w:r>
        <w:rPr>
          <w:rFonts w:hint="eastAsia" w:ascii="宋体" w:hAnsi="宋体" w:eastAsia="宋体" w:cs="宋体"/>
          <w:color w:val="000000"/>
          <w:sz w:val="24"/>
          <w:szCs w:val="24"/>
          <w:highlight w:val="none"/>
        </w:rPr>
      </w:r>
      <w:r/>
    </w:p>
    <w:p>
      <w:pPr>
        <w:pStyle w:val="7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22.1开标后，采购中心将立即组织评标委员会（以下简称评委会）进行评标。</w:t>
      </w:r>
      <w:r>
        <w:rPr>
          <w:rFonts w:hint="eastAsia" w:ascii="宋体" w:hAnsi="宋体" w:eastAsia="宋体" w:cs="宋体"/>
          <w:sz w:val="24"/>
          <w:szCs w:val="24"/>
          <w:highlight w:val="none"/>
        </w:rPr>
      </w:r>
      <w:r/>
    </w:p>
    <w:p>
      <w:pPr>
        <w:pStyle w:val="7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7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3采购中心和评标委员会不向未中标的投标人解释未中标原因，也不公布评标过程中的相关细节。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131" w:name="_Toc20823304"/>
      <w:r/>
      <w:bookmarkStart w:id="132" w:name="_Toc16938548"/>
      <w:r/>
      <w:bookmarkStart w:id="133" w:name="_Toc513029232"/>
      <w:r>
        <w:rPr>
          <w:rFonts w:hint="eastAsia" w:ascii="宋体" w:hAnsi="宋体" w:eastAsia="宋体" w:cs="宋体"/>
          <w:color w:val="000000"/>
          <w:sz w:val="24"/>
          <w:szCs w:val="24"/>
          <w:highlight w:val="none"/>
        </w:rPr>
        <w:t xml:space="preserve">24、投标文件的澄清</w:t>
      </w:r>
      <w:bookmarkEnd w:id="131"/>
      <w:r/>
      <w:bookmarkEnd w:id="132"/>
      <w:r/>
      <w:bookmarkEnd w:id="133"/>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rPr>
          <w:rFonts w:hint="eastAsia" w:ascii="宋体" w:hAnsi="宋体" w:eastAsia="宋体" w:cs="宋体"/>
          <w:sz w:val="24"/>
          <w:szCs w:val="24"/>
          <w:highlight w:val="none"/>
        </w:rPr>
      </w:r>
      <w:r/>
    </w:p>
    <w:p>
      <w:pPr>
        <w:pStyle w:val="7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rPr>
          <w:rFonts w:hint="eastAsia" w:ascii="宋体" w:hAnsi="宋体" w:eastAsia="宋体" w:cs="宋体"/>
          <w:sz w:val="24"/>
          <w:szCs w:val="24"/>
          <w:highlight w:val="none"/>
        </w:rPr>
      </w:r>
      <w:r/>
    </w:p>
    <w:p>
      <w:pPr>
        <w:pStyle w:val="779"/>
        <w:ind w:firstLine="420"/>
        <w:jc w:val="both"/>
        <w:keepLines/>
        <w:keepNext/>
        <w:spacing w:beforeAutospacing="0" w:afterAutospacing="0"/>
        <w:rPr>
          <w:rFonts w:hint="eastAsia" w:ascii="宋体" w:hAnsi="宋体" w:eastAsia="宋体" w:cs="宋体"/>
          <w:sz w:val="24"/>
          <w:szCs w:val="24"/>
          <w:highlight w:val="none"/>
        </w:rPr>
      </w:pPr>
      <w:r/>
      <w:bookmarkStart w:id="134" w:name="_Toc16938549"/>
      <w:r/>
      <w:bookmarkStart w:id="135" w:name="_Toc513029233"/>
      <w:r/>
      <w:bookmarkStart w:id="136" w:name="_Toc20823305"/>
      <w:r>
        <w:rPr>
          <w:rFonts w:hint="eastAsia" w:ascii="宋体" w:hAnsi="宋体" w:eastAsia="宋体" w:cs="宋体"/>
          <w:color w:val="000000"/>
          <w:sz w:val="24"/>
          <w:szCs w:val="24"/>
          <w:highlight w:val="none"/>
        </w:rPr>
        <w:t xml:space="preserve">25、对投标文件的初审</w:t>
      </w:r>
      <w:bookmarkEnd w:id="134"/>
      <w:r/>
      <w:bookmarkEnd w:id="135"/>
      <w:r/>
      <w:bookmarkEnd w:id="136"/>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779"/>
        <w:ind w:firstLine="420"/>
        <w:jc w:val="both"/>
        <w:spacing w:beforeAutospacing="0" w:afterAutospacing="0" w:line="0" w:lineRule="atLeast"/>
        <w:rPr>
          <w:rFonts w:hint="eastAsia" w:ascii="宋体" w:hAnsi="宋体" w:eastAsia="宋体" w:cs="宋体"/>
          <w:color w:val="000000"/>
          <w:sz w:val="24"/>
          <w:szCs w:val="24"/>
          <w:highlight w:val="none"/>
        </w:rPr>
      </w:pPr>
      <w:r/>
      <w:bookmarkStart w:id="137" w:name="_Toc16938550"/>
      <w:r/>
      <w:bookmarkStart w:id="138" w:name="_Toc20823306"/>
      <w:r/>
      <w:bookmarkStart w:id="139" w:name="_Toc513029234"/>
      <w:r>
        <w:rPr>
          <w:rFonts w:hint="eastAsia" w:ascii="宋体" w:hAnsi="宋体" w:eastAsia="宋体" w:cs="宋体"/>
          <w:color w:val="000000"/>
          <w:sz w:val="24"/>
          <w:szCs w:val="24"/>
          <w:highlight w:val="none"/>
        </w:rPr>
        <w:t xml:space="preserve">25.6投标人在开、评标全过程中应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，及时登录苏采云系统查阅、答复相关信息，并安排专人与采购中心及评标委员会联系。</w:t>
      </w:r>
      <w:bookmarkEnd w:id="137"/>
      <w:r/>
      <w:bookmarkEnd w:id="138"/>
      <w:r/>
      <w:bookmarkEnd w:id="139"/>
      <w:r>
        <w:rPr>
          <w:rFonts w:hint="eastAsia" w:ascii="宋体" w:hAnsi="宋体" w:eastAsia="宋体" w:cs="宋体"/>
          <w:color w:val="000000"/>
          <w:sz w:val="24"/>
          <w:szCs w:val="24"/>
          <w:highlight w:val="none"/>
        </w:rPr>
      </w:r>
      <w:r/>
    </w:p>
    <w:p>
      <w:pPr>
        <w:pStyle w:val="779"/>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26、无效投标条款和废标条款</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bookmarkStart w:id="140" w:name="_Toc20823307"/>
      <w:r/>
      <w:bookmarkStart w:id="141" w:name="_Toc16938551"/>
      <w:r/>
      <w:bookmarkStart w:id="142" w:name="_Toc513029235"/>
      <w:r>
        <w:rPr>
          <w:rFonts w:hint="eastAsia" w:ascii="宋体" w:hAnsi="宋体" w:eastAsia="宋体" w:cs="宋体"/>
          <w:color w:val="000000"/>
          <w:sz w:val="24"/>
          <w:szCs w:val="24"/>
          <w:highlight w:val="none"/>
        </w:rPr>
        <w:t xml:space="preserve">26.1无效投标条款</w:t>
      </w:r>
      <w:bookmarkEnd w:id="140"/>
      <w:r/>
      <w:bookmarkEnd w:id="141"/>
      <w:r/>
      <w:bookmarkEnd w:id="142"/>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26.1.1投标人在苏采云系统规定的时间内未成功解密电子投标文件的。</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26.1.2投标人未按照招标文件要求上传电子投标文件的。</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26.1.3同一投标人提交两个（含两个）以上不同的投标报价的。</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26.1.4投标人不具备招标文件中规定资格要求的。</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rPr>
          <w:rFonts w:hint="eastAsia" w:ascii="宋体" w:hAnsi="宋体" w:eastAsia="宋体" w:cs="宋体"/>
          <w:sz w:val="24"/>
          <w:szCs w:val="24"/>
          <w:highlight w:val="none"/>
        </w:rPr>
      </w:r>
      <w:r/>
    </w:p>
    <w:p>
      <w:pPr>
        <w:pStyle w:val="77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000000"/>
          <w:sz w:val="24"/>
          <w:szCs w:val="24"/>
          <w:highlight w:val="none"/>
        </w:rPr>
        <w:t xml:space="preserve">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 的，即投标报价&lt;采购项目预算×50%；</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 的，即投标报价&lt;采购项目最高限价×45%；</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26.1.11投标文件未按照招标文件要求加盖CA电子公章的。</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26.1.12其他法律、法规及本招标文件规定的属无效投标的情形。</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26.2废标条款</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26.2.1符合专业条件的供应商或者对招标文件作实质响应的供应商不足三家的。</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26.2.2出现影响采购公正的违法、违规行为的。</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26.2.3因重大变故，采购任务取消的。</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26.2.4评标委员会认定招标文件存在歧义、重大缺陷导致评审工作无法进行。</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26.2.5因苏采云系统系统故障原因造成开标不成功的。</w:t>
      </w:r>
      <w:r>
        <w:rPr>
          <w:rFonts w:hint="eastAsia" w:ascii="宋体" w:hAnsi="宋体" w:eastAsia="宋体" w:cs="宋体"/>
          <w:color w:val="000000"/>
          <w:sz w:val="24"/>
          <w:szCs w:val="24"/>
          <w:highlight w:val="none"/>
        </w:rPr>
      </w:r>
      <w:r/>
    </w:p>
    <w:p>
      <w:pPr>
        <w:pStyle w:val="779"/>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投标截止时间结束后参加投标的供应商不足三家的处理：</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sz w:val="24"/>
          <w:szCs w:val="24"/>
          <w:highlight w:val="none"/>
        </w:rPr>
      </w:r>
      <w:r/>
    </w:p>
    <w:p>
      <w:pPr>
        <w:pStyle w:val="779"/>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3" w:name="_Toc120614219"/>
      <w:r>
        <w:rPr>
          <w:rFonts w:hint="eastAsia" w:ascii="宋体" w:hAnsi="宋体" w:eastAsia="宋体" w:cs="宋体"/>
          <w:b/>
          <w:color w:val="000000"/>
          <w:sz w:val="24"/>
          <w:szCs w:val="24"/>
          <w:highlight w:val="none"/>
        </w:rPr>
        <w:t xml:space="preserve">六、定标</w:t>
      </w:r>
      <w:bookmarkEnd w:id="143"/>
      <w:r>
        <w:rPr>
          <w:rFonts w:hint="eastAsia" w:ascii="宋体" w:hAnsi="宋体" w:eastAsia="宋体" w:cs="宋体"/>
          <w:sz w:val="24"/>
          <w:szCs w:val="24"/>
          <w:highlight w:val="none"/>
        </w:rPr>
      </w:r>
      <w:r/>
    </w:p>
    <w:p>
      <w:pPr>
        <w:pStyle w:val="779"/>
        <w:ind w:firstLine="600"/>
        <w:jc w:val="both"/>
        <w:keepLines/>
        <w:keepNext/>
        <w:spacing w:beforeAutospacing="0" w:afterAutospacing="0"/>
        <w:rPr>
          <w:rFonts w:hint="eastAsia" w:ascii="宋体" w:hAnsi="宋体" w:eastAsia="宋体" w:cs="宋体"/>
          <w:sz w:val="24"/>
          <w:szCs w:val="24"/>
          <w:highlight w:val="none"/>
        </w:rPr>
      </w:pPr>
      <w:r/>
      <w:bookmarkStart w:id="144" w:name="_Toc513029238"/>
      <w:r/>
      <w:bookmarkStart w:id="145" w:name="_Toc16938554"/>
      <w:r/>
      <w:bookmarkStart w:id="146" w:name="_Toc20823310"/>
      <w:r>
        <w:rPr>
          <w:rFonts w:hint="eastAsia" w:ascii="宋体" w:hAnsi="宋体" w:eastAsia="宋体" w:cs="宋体"/>
          <w:color w:val="000000"/>
          <w:sz w:val="24"/>
          <w:szCs w:val="24"/>
          <w:highlight w:val="none"/>
        </w:rPr>
        <w:t xml:space="preserve">27、</w:t>
      </w:r>
      <w:bookmarkEnd w:id="146"/>
      <w:r>
        <w:rPr>
          <w:rFonts w:hint="eastAsia" w:ascii="宋体" w:hAnsi="宋体" w:eastAsia="宋体" w:cs="宋体"/>
          <w:color w:val="000000"/>
          <w:sz w:val="24"/>
          <w:szCs w:val="24"/>
          <w:highlight w:val="none"/>
        </w:rPr>
        <w:t xml:space="preserve">确定</w:t>
      </w:r>
      <w:bookmarkEnd w:id="144"/>
      <w:r/>
      <w:bookmarkEnd w:id="145"/>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bookmarkStart w:id="147" w:name="_Toc200451960"/>
      <w:r>
        <w:rPr>
          <w:rFonts w:hint="eastAsia" w:ascii="宋体" w:hAnsi="宋体" w:eastAsia="宋体" w:cs="宋体"/>
          <w:color w:val="000000"/>
          <w:sz w:val="24"/>
          <w:szCs w:val="24"/>
          <w:highlight w:val="none"/>
        </w:rPr>
        <w:t xml:space="preserve">27.5 有下列情形之一的，视为投标人串通投标，投标无效：</w:t>
      </w:r>
      <w:bookmarkEnd w:id="147"/>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rPr>
          <w:rFonts w:hint="eastAsia" w:ascii="宋体" w:hAnsi="宋体" w:eastAsia="宋体" w:cs="宋体"/>
          <w:sz w:val="24"/>
          <w:szCs w:val="24"/>
          <w:highlight w:val="none"/>
        </w:rPr>
      </w:r>
      <w:r/>
    </w:p>
    <w:p>
      <w:pPr>
        <w:pStyle w:val="779"/>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779"/>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eastAsia="宋体" w:cs="宋体"/>
          <w:sz w:val="24"/>
          <w:szCs w:val="24"/>
          <w:highlight w:val="none"/>
        </w:rPr>
      </w:r>
      <w:r/>
    </w:p>
    <w:p>
      <w:pPr>
        <w:pStyle w:val="737"/>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779"/>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779"/>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rPr>
          <w:rFonts w:hint="eastAsia" w:ascii="宋体" w:hAnsi="宋体" w:eastAsia="宋体" w:cs="宋体"/>
          <w:sz w:val="24"/>
          <w:szCs w:val="24"/>
          <w:highlight w:val="none"/>
        </w:rPr>
      </w:r>
      <w:r/>
    </w:p>
    <w:p>
      <w:pPr>
        <w:pStyle w:val="779"/>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000000"/>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79"/>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779"/>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20823308"/>
      <w:r/>
      <w:bookmarkStart w:id="149" w:name="_Toc16938552"/>
      <w:r/>
      <w:bookmarkStart w:id="150" w:name="_Toc120614220"/>
      <w:r/>
      <w:bookmarkStart w:id="151" w:name="_Toc513029236"/>
      <w:r>
        <w:rPr>
          <w:rFonts w:hint="eastAsia" w:ascii="宋体" w:hAnsi="宋体" w:eastAsia="宋体" w:cs="宋体"/>
          <w:b/>
          <w:color w:val="000000"/>
          <w:sz w:val="24"/>
          <w:szCs w:val="24"/>
          <w:highlight w:val="none"/>
        </w:rPr>
        <w:t xml:space="preserve">七、授予合同</w:t>
      </w:r>
      <w:bookmarkEnd w:id="148"/>
      <w:r/>
      <w:bookmarkEnd w:id="149"/>
      <w:r/>
      <w:bookmarkEnd w:id="150"/>
      <w:r/>
      <w:bookmarkEnd w:id="151"/>
      <w:r>
        <w:rPr>
          <w:rFonts w:hint="eastAsia" w:ascii="宋体" w:hAnsi="宋体" w:eastAsia="宋体" w:cs="宋体"/>
          <w:sz w:val="24"/>
          <w:szCs w:val="24"/>
          <w:highlight w:val="none"/>
        </w:rPr>
      </w:r>
      <w:r/>
    </w:p>
    <w:p>
      <w:pPr>
        <w:pStyle w:val="779"/>
        <w:ind w:firstLine="600"/>
        <w:jc w:val="both"/>
        <w:keepLines/>
        <w:keepNext/>
        <w:spacing w:beforeAutospacing="0" w:afterAutospacing="0"/>
        <w:rPr>
          <w:rFonts w:hint="eastAsia" w:ascii="宋体" w:hAnsi="宋体" w:eastAsia="宋体" w:cs="宋体"/>
          <w:sz w:val="24"/>
          <w:szCs w:val="24"/>
          <w:highlight w:val="none"/>
        </w:rPr>
      </w:pPr>
      <w:r/>
      <w:bookmarkStart w:id="152" w:name="_Toc513029237"/>
      <w:r/>
      <w:bookmarkStart w:id="153" w:name="_Toc20823309"/>
      <w:r/>
      <w:bookmarkStart w:id="154" w:name="_Toc16938553"/>
      <w:r>
        <w:rPr>
          <w:rFonts w:hint="eastAsia" w:ascii="宋体" w:hAnsi="宋体" w:eastAsia="宋体" w:cs="宋体"/>
          <w:color w:val="000000"/>
          <w:sz w:val="24"/>
          <w:szCs w:val="24"/>
          <w:highlight w:val="none"/>
        </w:rPr>
        <w:t xml:space="preserve">30.签订合同</w:t>
      </w:r>
      <w:bookmarkEnd w:id="152"/>
      <w:r/>
      <w:bookmarkEnd w:id="153"/>
      <w:r/>
      <w:bookmarkEnd w:id="154"/>
      <w:r>
        <w:rPr>
          <w:rFonts w:hint="eastAsia" w:ascii="宋体" w:hAnsi="宋体" w:eastAsia="宋体" w:cs="宋体"/>
          <w:sz w:val="24"/>
          <w:szCs w:val="24"/>
          <w:highlight w:val="none"/>
        </w:rPr>
      </w:r>
      <w:r/>
    </w:p>
    <w:p>
      <w:pPr>
        <w:pStyle w:val="779"/>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779"/>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rPr>
          <w:rFonts w:hint="eastAsia" w:ascii="宋体" w:hAnsi="宋体" w:eastAsia="宋体" w:cs="宋体"/>
          <w:sz w:val="24"/>
          <w:szCs w:val="24"/>
          <w:highlight w:val="none"/>
        </w:rPr>
      </w:r>
      <w:r/>
    </w:p>
    <w:p>
      <w:pPr>
        <w:pStyle w:val="779"/>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779"/>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rPr>
          <w:rFonts w:hint="eastAsia" w:ascii="宋体" w:hAnsi="宋体" w:eastAsia="宋体" w:cs="宋体"/>
          <w:sz w:val="24"/>
          <w:szCs w:val="24"/>
          <w:highlight w:val="none"/>
        </w:rPr>
      </w:r>
      <w:r/>
    </w:p>
    <w:p>
      <w:pPr>
        <w:pStyle w:val="77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779"/>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rPr>
          <w:rFonts w:hint="eastAsia" w:ascii="宋体" w:hAnsi="宋体" w:eastAsia="宋体" w:cs="宋体"/>
          <w:color w:val="000000"/>
          <w:sz w:val="24"/>
          <w:szCs w:val="24"/>
          <w:highlight w:val="none"/>
          <w:lang w:val="en-US" w:eastAsia="zh-CN"/>
        </w:rPr>
      </w:r>
      <w:r/>
    </w:p>
    <w:p>
      <w:pPr>
        <w:pStyle w:val="779"/>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737"/>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737"/>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rPr>
          <w:rFonts w:hint="eastAsia" w:ascii="宋体" w:hAnsi="宋体" w:eastAsia="宋体" w:cs="宋体"/>
          <w:color w:val="000000"/>
          <w:sz w:val="24"/>
          <w:szCs w:val="24"/>
          <w:highlight w:val="none"/>
          <w:lang w:val="en-US" w:eastAsia="zh-CN"/>
        </w:rPr>
      </w:r>
      <w:r/>
    </w:p>
    <w:p>
      <w:pPr>
        <w:pStyle w:val="779"/>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rPr>
      </w:r>
      <w:r/>
    </w:p>
    <w:p>
      <w:pPr>
        <w:pStyle w:val="737"/>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lang w:val="en-US" w:eastAsia="zh-CN"/>
        </w:rPr>
      </w:r>
      <w:r/>
    </w:p>
    <w:p>
      <w:pPr>
        <w:pStyle w:val="737"/>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rPr>
      </w:r>
      <w:r/>
    </w:p>
    <w:p>
      <w:pPr>
        <w:pStyle w:val="737"/>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rPr>
          <w:rFonts w:hint="eastAsia" w:ascii="宋体" w:hAnsi="宋体" w:eastAsia="宋体" w:cs="宋体"/>
          <w:color w:val="000000"/>
          <w:sz w:val="24"/>
          <w:szCs w:val="24"/>
          <w:highlight w:val="none"/>
          <w:lang w:val="en-US" w:eastAsia="zh-CN" w:bidi="ar-SA"/>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rPr>
          <w:rFonts w:hint="eastAsia" w:ascii="宋体" w:hAnsi="宋体" w:eastAsia="宋体" w:cs="宋体"/>
          <w:color w:val="000000"/>
          <w:sz w:val="24"/>
          <w:szCs w:val="24"/>
          <w:highlight w:val="none"/>
          <w:lang w:val="en-US" w:eastAsia="zh-CN"/>
        </w:rPr>
      </w:r>
      <w:r/>
    </w:p>
    <w:p>
      <w:pPr>
        <w:pStyle w:val="779"/>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rPr>
      </w:r>
      <w:r/>
    </w:p>
    <w:p>
      <w:pPr>
        <w:pStyle w:val="779"/>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rFonts w:ascii="黑体" w:hAnsi="宋体" w:eastAsia="黑体" w:cs="黑体"/>
          <w:color w:val="000000"/>
          <w:sz w:val="44"/>
          <w:szCs w:val="44"/>
          <w:highlight w:val="none"/>
          <w:shd w:val="clear" w:color="auto" w:fill="ffffff"/>
        </w:rPr>
      </w:pPr>
      <w:r>
        <w:rPr>
          <w:rFonts w:ascii="黑体" w:hAnsi="宋体" w:eastAsia="黑体" w:cs="黑体"/>
          <w:color w:val="000000"/>
          <w:sz w:val="44"/>
          <w:szCs w:val="44"/>
          <w:highlight w:val="none"/>
          <w:shd w:val="clear" w:color="auto" w:fill="ffffff"/>
        </w:rPr>
      </w:r>
      <w:r/>
    </w:p>
    <w:p>
      <w:pPr>
        <w:pStyle w:val="779"/>
        <w:jc w:val="center"/>
        <w:spacing w:beforeAutospacing="0" w:afterAutospacing="0"/>
        <w:widowControl/>
        <w:rPr>
          <w:highlight w:val="none"/>
        </w:rPr>
      </w:pPr>
      <w:r>
        <w:rPr>
          <w:rFonts w:ascii="黑体" w:hAnsi="宋体" w:eastAsia="黑体" w:cs="黑体"/>
          <w:color w:val="000000"/>
          <w:sz w:val="44"/>
          <w:szCs w:val="44"/>
          <w:highlight w:val="none"/>
          <w:shd w:val="clear" w:color="auto" w:fill="ffffff"/>
        </w:rPr>
        <w:t xml:space="preserve">第三章 合同</w:t>
      </w:r>
      <w:r>
        <w:rPr>
          <w:rFonts w:hint="eastAsia" w:ascii="黑体" w:hAnsi="宋体" w:eastAsia="黑体" w:cs="黑体"/>
          <w:color w:val="000000"/>
          <w:sz w:val="44"/>
          <w:szCs w:val="44"/>
          <w:highlight w:val="none"/>
          <w:shd w:val="clear" w:color="auto" w:fill="ffffff"/>
        </w:rPr>
        <w:t xml:space="preserve">文本</w:t>
      </w:r>
      <w:r>
        <w:rPr>
          <w:highlight w:val="none"/>
        </w:rPr>
      </w:r>
      <w:r/>
    </w:p>
    <w:p>
      <w:pPr>
        <w:pStyle w:val="779"/>
        <w:ind w:firstLine="480"/>
        <w:spacing w:beforeAutospacing="0" w:afterAutospacing="0" w:line="0" w:lineRule="atLeas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r>
      <w:r/>
    </w:p>
    <w:p>
      <w:pPr>
        <w:pStyle w:val="779"/>
        <w:ind w:firstLine="480"/>
        <w:spacing w:beforeAutospacing="0" w:afterAutospacing="0" w:line="0" w:lineRule="atLeast"/>
        <w:widowControl/>
        <w:rPr>
          <w:rFonts w:hint="eastAsia" w:eastAsia="宋体"/>
          <w:highlight w:val="none"/>
        </w:rPr>
      </w:pPr>
      <w:r>
        <w:rPr>
          <w:rFonts w:hint="eastAsia" w:ascii="宋体" w:hAnsi="宋体" w:eastAsia="宋体" w:cs="宋体"/>
          <w:color w:val="000000"/>
          <w:highlight w:val="none"/>
          <w:shd w:val="clear" w:color="auto" w:fill="ffffff"/>
        </w:rPr>
        <w:t xml:space="preserve">以下为中标后签定本项目合同的通用条款，中标供应商不得提出实质性的修改。</w:t>
      </w:r>
      <w:r>
        <w:rPr>
          <w:rFonts w:hint="eastAsia" w:eastAsia="宋体"/>
          <w:highlight w:val="none"/>
        </w:rPr>
      </w:r>
      <w:r/>
    </w:p>
    <w:p>
      <w:pPr>
        <w:pStyle w:val="834"/>
        <w:ind w:firstLine="602"/>
        <w:jc w:val="center"/>
        <w:spacing w:before="156" w:beforeAutospacing="0" w:after="156" w:afterAutospacing="0"/>
        <w:rPr>
          <w:highlight w:val="none"/>
        </w:rPr>
      </w:pPr>
      <w:r/>
      <w:bookmarkEnd w:id="53"/>
      <w:r/>
      <w:bookmarkEnd w:id="54"/>
      <w:r/>
      <w:bookmarkEnd w:id="55"/>
      <w:r>
        <w:rPr>
          <w:rFonts w:hint="eastAsia" w:ascii="宋体" w:hAnsi="宋体" w:cs="宋体"/>
          <w:b/>
          <w:sz w:val="30"/>
          <w:szCs w:val="30"/>
          <w:highlight w:val="none"/>
        </w:rPr>
        <w:t xml:space="preserve">盐城市政府采购合同（服务）（合同编号）</w:t>
      </w:r>
      <w:r>
        <w:rPr>
          <w:highlight w:val="none"/>
        </w:rPr>
      </w:r>
      <w:r/>
    </w:p>
    <w:p>
      <w:pPr>
        <w:pStyle w:val="737"/>
        <w:ind w:left="479"/>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highlight w:val="none"/>
        </w:rPr>
        <w:t xml:space="preserve"> </w:t>
      </w:r>
      <w:r>
        <w:rPr>
          <w:rFonts w:hint="eastAsia" w:ascii="宋体" w:hAnsi="宋体" w:eastAsia="宋体" w:cs="宋体"/>
          <w:sz w:val="24"/>
          <w:highlight w:val="none"/>
        </w:rPr>
        <w:t xml:space="preserve">盐城市区地下管线信息管理系统升级及数据治理采集项目</w:t>
      </w:r>
      <w:r>
        <w:rPr>
          <w:rFonts w:hint="eastAsia" w:ascii="宋体" w:hAnsi="宋体" w:eastAsia="宋体" w:cs="宋体"/>
          <w:sz w:val="24"/>
          <w:highlight w:val="none"/>
        </w:rPr>
      </w:r>
      <w:r/>
    </w:p>
    <w:p>
      <w:pPr>
        <w:pStyle w:val="737"/>
        <w:ind w:left="479"/>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rPr>
      </w:r>
      <w:r/>
    </w:p>
    <w:p>
      <w:pPr>
        <w:pStyle w:val="737"/>
        <w:ind w:firstLine="480"/>
        <w:spacing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甲方:（买方）</w:t>
      </w:r>
      <w:r>
        <w:rPr>
          <w:rFonts w:hint="eastAsia" w:ascii="宋体" w:hAnsi="宋体" w:eastAsia="宋体" w:cs="宋体"/>
          <w:sz w:val="24"/>
          <w:highlight w:val="none"/>
          <w:u w:val="single"/>
        </w:rPr>
        <w:t xml:space="preserve">盐城市自然资源和规划局</w:t>
      </w:r>
      <w:r>
        <w:rPr>
          <w:rFonts w:hint="eastAsia" w:ascii="宋体" w:hAnsi="宋体" w:eastAsia="宋体" w:cs="宋体"/>
          <w:sz w:val="24"/>
          <w:highlight w:val="none"/>
          <w:u w:val="single"/>
        </w:rPr>
      </w:r>
      <w:r/>
    </w:p>
    <w:p>
      <w:pPr>
        <w:pStyle w:val="737"/>
        <w:ind w:firstLine="480"/>
        <w:spacing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乙方:（卖方）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737"/>
        <w:ind w:firstLine="480"/>
        <w:spacing w:line="480" w:lineRule="exact"/>
        <w:rPr>
          <w:highlight w:val="none"/>
        </w:rPr>
      </w:pPr>
      <w:r>
        <w:rPr>
          <w:rFonts w:hint="eastAsia" w:ascii="宋体" w:hAnsi="宋体" w:eastAsia="宋体" w:cs="宋体"/>
          <w:color w:val="000000"/>
          <w:sz w:val="24"/>
          <w:highlight w:val="none"/>
        </w:rPr>
        <w:t xml:space="preserve">甲、乙双方根据盐城市政府采购中心</w:t>
      </w:r>
      <w:r>
        <w:rPr>
          <w:rFonts w:hint="eastAsia" w:ascii="宋体" w:hAnsi="宋体" w:eastAsia="宋体" w:cs="宋体"/>
          <w:color w:val="000000"/>
          <w:sz w:val="24"/>
          <w:highlight w:val="none"/>
          <w:u w:val="single"/>
        </w:rPr>
        <w:t xml:space="preserve"> 盐城市区地下管线信息管理系统升级及数据治理采集 </w:t>
      </w:r>
      <w:r>
        <w:rPr>
          <w:rFonts w:hint="eastAsia" w:ascii="宋体" w:hAnsi="宋体" w:eastAsia="宋体" w:cs="宋体"/>
          <w:color w:val="000000"/>
          <w:sz w:val="24"/>
          <w:highlight w:val="none"/>
        </w:rPr>
        <w:t xml:space="preserve">项目公开招标的结果，签署本合同。</w:t>
      </w:r>
      <w:r>
        <w:rPr>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一、合同内容</w:t>
      </w:r>
      <w:r>
        <w:rPr>
          <w:highlight w:val="none"/>
        </w:rPr>
      </w:r>
      <w:r/>
    </w:p>
    <w:p>
      <w:pPr>
        <w:pStyle w:val="779"/>
        <w:ind w:firstLine="480"/>
        <w:jc w:val="both"/>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color w:val="000000"/>
          <w:highlight w:val="none"/>
        </w:rPr>
        <w:t xml:space="preserve">1.1 标的名称：盐城市区地下管线信息管理系统升级及数据治理采集</w:t>
      </w:r>
      <w:r>
        <w:rPr>
          <w:rFonts w:hint="eastAsia" w:ascii="宋体" w:hAnsi="宋体" w:eastAsia="宋体" w:cs="宋体"/>
          <w:highlight w:val="none"/>
        </w:rPr>
        <w:t xml:space="preserve">项目</w:t>
      </w:r>
      <w:r>
        <w:rPr>
          <w:rFonts w:hint="eastAsia" w:ascii="宋体" w:hAnsi="宋体" w:eastAsia="宋体" w:cs="宋体"/>
          <w:highlight w:val="none"/>
        </w:rPr>
      </w:r>
      <w:r/>
    </w:p>
    <w:p>
      <w:pPr>
        <w:pStyle w:val="779"/>
        <w:ind w:firstLine="480"/>
        <w:jc w:val="both"/>
        <w:spacing w:before="120" w:beforeAutospacing="0" w:after="120" w:afterAutospacing="0" w:line="440" w:lineRule="exact"/>
        <w:rPr>
          <w:rFonts w:ascii="宋体" w:hAnsi="宋体" w:eastAsia="宋体" w:cs="宋体"/>
          <w:highlight w:val="none"/>
        </w:rPr>
      </w:pPr>
      <w:r>
        <w:rPr>
          <w:rFonts w:hint="eastAsia" w:ascii="宋体" w:hAnsi="宋体" w:eastAsia="宋体" w:cs="宋体"/>
          <w:highlight w:val="none"/>
        </w:rPr>
        <w:t xml:space="preserve">1.2标的质量：</w:t>
      </w:r>
      <w:r>
        <w:rPr>
          <w:rFonts w:hint="eastAsia" w:ascii="宋体" w:hAnsi="宋体" w:cs="宋体"/>
          <w:bCs/>
          <w:highlight w:val="none"/>
        </w:rPr>
        <w:t xml:space="preserve">详按招标文件要求</w:t>
      </w:r>
      <w:r>
        <w:rPr>
          <w:rFonts w:ascii="宋体" w:hAnsi="宋体" w:eastAsia="宋体" w:cs="宋体"/>
          <w:highlight w:val="none"/>
        </w:rPr>
      </w:r>
      <w:r/>
    </w:p>
    <w:p>
      <w:pPr>
        <w:pStyle w:val="779"/>
        <w:ind w:firstLine="480"/>
        <w:jc w:val="both"/>
        <w:spacing w:before="120" w:beforeAutospacing="0" w:after="12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1.3 标的数量（规模）：</w:t>
      </w:r>
      <w:r>
        <w:rPr>
          <w:rFonts w:hint="eastAsia" w:ascii="宋体" w:hAnsi="宋体" w:cs="宋体"/>
          <w:bCs/>
          <w:highlight w:val="none"/>
        </w:rPr>
        <w:t xml:space="preserve">详按招标文件要求</w:t>
      </w:r>
      <w:r>
        <w:rPr>
          <w:rFonts w:ascii="宋体" w:hAnsi="宋体" w:eastAsia="宋体" w:cs="宋体"/>
          <w:color w:val="000000"/>
          <w:highlight w:val="none"/>
        </w:rPr>
      </w:r>
      <w:r/>
    </w:p>
    <w:p>
      <w:pPr>
        <w:pStyle w:val="779"/>
        <w:ind w:firstLine="480"/>
        <w:jc w:val="both"/>
        <w:spacing w:before="120" w:beforeAutospacing="0" w:after="12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1.4 履行时间（期限）：</w:t>
      </w:r>
      <w:r>
        <w:rPr>
          <w:rFonts w:hint="eastAsia" w:ascii="宋体" w:hAnsi="宋体" w:eastAsia="宋体" w:cs="宋体"/>
          <w:highlight w:val="none"/>
        </w:rPr>
        <w:t xml:space="preserve">合同签订后12个月内完成所有项目内容</w:t>
      </w:r>
      <w:r>
        <w:rPr>
          <w:rFonts w:ascii="宋体" w:hAnsi="宋体" w:eastAsia="宋体" w:cs="宋体"/>
          <w:color w:val="000000"/>
          <w:highlight w:val="none"/>
        </w:rPr>
        <w:t xml:space="preserve">；</w:t>
      </w:r>
      <w:r>
        <w:rPr>
          <w:rFonts w:hint="eastAsia" w:ascii="宋体" w:hAnsi="宋体" w:eastAsia="宋体" w:cs="宋体"/>
          <w:color w:val="000000"/>
          <w:highlight w:val="none"/>
        </w:rPr>
      </w:r>
      <w:r/>
    </w:p>
    <w:p>
      <w:pPr>
        <w:pStyle w:val="779"/>
        <w:ind w:firstLine="480"/>
        <w:jc w:val="both"/>
        <w:spacing w:before="120" w:beforeAutospacing="0" w:after="12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1.5履行地点：盐城市自然资源和规划局</w:t>
      </w:r>
      <w:r>
        <w:rPr>
          <w:rFonts w:ascii="宋体" w:hAnsi="宋体" w:eastAsia="宋体" w:cs="宋体"/>
          <w:color w:val="000000"/>
          <w:highlight w:val="none"/>
        </w:rPr>
      </w:r>
      <w:r/>
    </w:p>
    <w:p>
      <w:pPr>
        <w:pStyle w:val="779"/>
        <w:ind w:firstLine="480"/>
        <w:jc w:val="both"/>
        <w:spacing w:before="120" w:beforeAutospacing="0" w:after="12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1.6履行方式：</w:t>
      </w:r>
      <w:r>
        <w:rPr>
          <w:rFonts w:hint="eastAsia" w:ascii="宋体" w:hAnsi="宋体" w:cs="宋体"/>
          <w:highlight w:val="none"/>
        </w:rPr>
        <w:t xml:space="preserve">详见采购需求，根据</w:t>
      </w:r>
      <w:r>
        <w:rPr>
          <w:rFonts w:hint="eastAsia" w:ascii="宋体" w:hAnsi="宋体" w:eastAsia="宋体" w:cs="宋体"/>
          <w:highlight w:val="none"/>
        </w:rPr>
        <w:t xml:space="preserve">采购方</w:t>
      </w:r>
      <w:r>
        <w:rPr>
          <w:rFonts w:hint="eastAsia" w:ascii="宋体" w:hAnsi="宋体" w:cs="宋体"/>
          <w:highlight w:val="none"/>
        </w:rPr>
        <w:t xml:space="preserve">要求提供相关服务</w:t>
      </w:r>
      <w:r>
        <w:rPr>
          <w:rFonts w:hint="eastAsia" w:ascii="宋体" w:hAnsi="宋体" w:eastAsia="宋体" w:cs="宋体"/>
          <w:highlight w:val="none"/>
        </w:rPr>
        <w:t xml:space="preserve">。</w:t>
      </w:r>
      <w:r>
        <w:rPr>
          <w:rFonts w:ascii="宋体" w:hAnsi="宋体" w:eastAsia="宋体" w:cs="宋体"/>
          <w:color w:val="000000"/>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二、合同金额</w:t>
      </w:r>
      <w:r>
        <w:rPr>
          <w:highlight w:val="none"/>
        </w:rPr>
      </w:r>
      <w:r/>
    </w:p>
    <w:p>
      <w:pPr>
        <w:pStyle w:val="737"/>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2.1本合同金额为（大写）：_______元（______元）人民币或其他币种。</w:t>
      </w:r>
      <w:r>
        <w:rPr>
          <w:rFonts w:hint="eastAsia" w:ascii="宋体" w:hAnsi="宋体" w:cs="宋体"/>
          <w:bCs/>
          <w:sz w:val="24"/>
          <w:highlight w:val="none"/>
        </w:rPr>
      </w:r>
      <w:r/>
    </w:p>
    <w:p>
      <w:pPr>
        <w:pStyle w:val="737"/>
        <w:ind w:firstLine="480"/>
        <w:spacing w:line="500" w:lineRule="exact"/>
        <w:rPr>
          <w:rFonts w:hint="eastAsia" w:ascii="宋体" w:hAnsi="宋体" w:cs="宋体"/>
          <w:sz w:val="24"/>
          <w:highlight w:val="none"/>
        </w:rPr>
      </w:pPr>
      <w:r>
        <w:rPr>
          <w:rFonts w:hint="eastAsia" w:ascii="宋体" w:hAnsi="宋体" w:cs="宋体"/>
          <w:sz w:val="24"/>
          <w:highlight w:val="none"/>
        </w:rPr>
        <w:t xml:space="preserve">2.2最终结算时的产品价格以投标单价为准，双方另有约定的除外，数量以实际签收的数量为准。</w:t>
      </w:r>
      <w:r>
        <w:rPr>
          <w:rFonts w:hint="eastAsia" w:ascii="宋体" w:hAnsi="宋体" w:cs="宋体"/>
          <w:sz w:val="24"/>
          <w:highlight w:val="none"/>
        </w:rPr>
      </w:r>
      <w:r/>
    </w:p>
    <w:p>
      <w:pPr>
        <w:pStyle w:val="737"/>
        <w:ind w:firstLine="480"/>
        <w:spacing w:line="500" w:lineRule="exact"/>
        <w:rPr>
          <w:rFonts w:hint="eastAsia" w:ascii="宋体" w:hAnsi="宋体" w:cs="宋体"/>
          <w:b/>
          <w:color w:val="000000"/>
          <w:sz w:val="24"/>
          <w:highlight w:val="none"/>
        </w:rPr>
      </w:pPr>
      <w:r>
        <w:rPr>
          <w:rFonts w:hint="eastAsia" w:ascii="宋体" w:hAnsi="宋体" w:cs="宋体"/>
          <w:sz w:val="24"/>
          <w:highlight w:val="none"/>
        </w:rPr>
        <w:t xml:space="preserve">2.3如甲方要求乙方分批供货，请乙方将导致材料价格波动的风险，及其他一切风险综合考虑在报价中。</w:t>
      </w:r>
      <w:r>
        <w:rPr>
          <w:rFonts w:hint="eastAsia" w:ascii="宋体" w:hAnsi="宋体" w:cs="宋体"/>
          <w:b/>
          <w:color w:val="000000"/>
          <w:sz w:val="24"/>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三、技术资料</w:t>
      </w:r>
      <w:r>
        <w:rPr>
          <w:highlight w:val="none"/>
        </w:rPr>
      </w:r>
      <w:r/>
    </w:p>
    <w:p>
      <w:pPr>
        <w:pStyle w:val="779"/>
        <w:ind w:firstLine="480"/>
        <w:jc w:val="both"/>
        <w:spacing w:before="120" w:beforeAutospacing="0" w:after="12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3.1乙方应按招标文件规定的时间向甲方提供服务（包含与服务相关的货物）的有关技术资料。</w:t>
      </w:r>
      <w:r>
        <w:rPr>
          <w:rFonts w:hint="eastAsia" w:ascii="宋体" w:hAnsi="宋体" w:eastAsia="宋体" w:cs="宋体"/>
          <w:color w:val="000000"/>
          <w:highlight w:val="none"/>
        </w:rPr>
      </w:r>
      <w:r/>
    </w:p>
    <w:p>
      <w:pPr>
        <w:pStyle w:val="779"/>
        <w:ind w:firstLine="480"/>
        <w:jc w:val="both"/>
        <w:spacing w:before="120" w:beforeAutospacing="0" w:after="12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四、知识产权</w:t>
      </w:r>
      <w:r>
        <w:rPr>
          <w:highlight w:val="none"/>
        </w:rPr>
      </w:r>
      <w:r/>
    </w:p>
    <w:p>
      <w:pPr>
        <w:pStyle w:val="779"/>
        <w:ind w:firstLine="480"/>
        <w:jc w:val="both"/>
        <w:spacing w:before="120" w:beforeAutospacing="0" w:after="12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五、产权担保</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5.1乙方保证所交付的服务（包含与服务相关的货物）的所有权完全属于乙方且无任何抵押、查封等产权瑕疵。</w:t>
      </w:r>
      <w:r>
        <w:rPr>
          <w:highlight w:val="none"/>
        </w:rPr>
      </w:r>
      <w:r/>
    </w:p>
    <w:p>
      <w:pPr>
        <w:pStyle w:val="779"/>
        <w:ind w:firstLine="482"/>
        <w:jc w:val="both"/>
        <w:spacing w:before="120" w:beforeAutospacing="0" w:after="120" w:afterAutospacing="0" w:line="400" w:lineRule="exact"/>
        <w:rPr>
          <w:rFonts w:hint="eastAsia" w:ascii="宋体" w:hAnsi="宋体" w:eastAsia="宋体" w:cs="宋体"/>
          <w:highlight w:val="none"/>
        </w:rPr>
      </w:pPr>
      <w:r>
        <w:rPr>
          <w:rFonts w:hint="eastAsia" w:ascii="宋体" w:hAnsi="宋体" w:eastAsia="宋体" w:cs="宋体"/>
          <w:b/>
          <w:color w:val="000000"/>
          <w:highlight w:val="none"/>
        </w:rPr>
        <w:t xml:space="preserve">六、履约保证金</w:t>
      </w:r>
      <w:r>
        <w:rPr>
          <w:rFonts w:hint="eastAsia" w:ascii="宋体" w:hAnsi="宋体" w:eastAsia="宋体" w:cs="宋体"/>
          <w:highlight w:val="none"/>
        </w:rPr>
      </w:r>
      <w:r/>
    </w:p>
    <w:p>
      <w:pPr>
        <w:pStyle w:val="834"/>
        <w:ind w:firstLine="480"/>
        <w:jc w:val="both"/>
        <w:spacing w:beforeAutospacing="0" w:afterAutospacing="0" w:line="480" w:lineRule="exact"/>
        <w:rPr>
          <w:rFonts w:ascii="宋体" w:hAnsi="宋体" w:cs="宋体"/>
          <w:highlight w:val="none"/>
        </w:rPr>
      </w:pPr>
      <w:r>
        <w:rPr>
          <w:rFonts w:hint="eastAsia" w:ascii="宋体" w:hAnsi="宋体" w:cs="宋体"/>
          <w:highlight w:val="none"/>
        </w:rPr>
        <w:t xml:space="preserve">6.1</w:t>
      </w:r>
      <w:r>
        <w:rPr>
          <w:rFonts w:hint="eastAsia" w:hAnsi="宋体" w:eastAsia="宋体" w:cs="宋体"/>
          <w:color w:val="000000"/>
          <w:sz w:val="24"/>
          <w:szCs w:val="24"/>
          <w:highlight w:val="none"/>
        </w:rPr>
        <w:t xml:space="preserve">乙方交纳人民币</w:t>
      </w:r>
      <w:r>
        <w:rPr>
          <w:rFonts w:hint="eastAsia" w:hAnsi="宋体" w:eastAsia="宋体" w:cs="宋体"/>
          <w:color w:val="000000"/>
          <w:sz w:val="24"/>
          <w:szCs w:val="24"/>
          <w:highlight w:val="none"/>
          <w:u w:val="single"/>
        </w:rPr>
        <w:t xml:space="preserve">（大写）         </w:t>
      </w:r>
      <w:r>
        <w:rPr>
          <w:rFonts w:hint="eastAsia" w:hAnsi="宋体" w:cs="宋体"/>
          <w:color w:val="000000"/>
          <w:sz w:val="24"/>
          <w:szCs w:val="24"/>
          <w:highlight w:val="none"/>
          <w:u w:val="single"/>
        </w:rPr>
        <w:t xml:space="preserve">元</w:t>
      </w:r>
      <w:r>
        <w:rPr>
          <w:rFonts w:hint="eastAsia" w:hAnsi="宋体" w:eastAsia="宋体" w:cs="宋体"/>
          <w:color w:val="000000"/>
          <w:sz w:val="24"/>
          <w:szCs w:val="24"/>
          <w:highlight w:val="none"/>
          <w:u w:val="single"/>
        </w:rPr>
        <w:t xml:space="preserve">整（¥         ）</w:t>
      </w:r>
      <w:r>
        <w:rPr>
          <w:rFonts w:hint="eastAsia" w:hAnsi="宋体" w:eastAsia="宋体" w:cs="宋体"/>
          <w:color w:val="000000"/>
          <w:sz w:val="24"/>
          <w:szCs w:val="24"/>
          <w:highlight w:val="none"/>
        </w:rPr>
        <w:t xml:space="preserve">作为本合同的履约保证金（合同金额的10%）；</w:t>
      </w:r>
      <w:r>
        <w:rPr>
          <w:rFonts w:hint="eastAsia" w:hAnsi="宋体" w:eastAsia="宋体" w:cs="宋体"/>
          <w:b/>
          <w:bCs/>
          <w:color w:val="000000"/>
          <w:sz w:val="24"/>
          <w:szCs w:val="24"/>
          <w:highlight w:val="none"/>
        </w:rPr>
        <w:t xml:space="preserve">于</w:t>
      </w:r>
      <w:r>
        <w:rPr>
          <w:rFonts w:hint="eastAsia" w:hAnsi="宋体" w:eastAsia="宋体" w:cs="宋体"/>
          <w:b/>
          <w:bCs/>
          <w:color w:val="000000"/>
          <w:sz w:val="24"/>
          <w:szCs w:val="24"/>
          <w:highlight w:val="none"/>
          <w:lang w:val="en-US" w:eastAsia="zh-CN"/>
        </w:rPr>
        <w:t xml:space="preserve">项目验收合格</w:t>
      </w:r>
      <w:r>
        <w:rPr>
          <w:rFonts w:hint="eastAsia" w:hAnsi="宋体" w:eastAsia="宋体" w:cs="宋体"/>
          <w:b/>
          <w:bCs/>
          <w:color w:val="000000"/>
          <w:sz w:val="24"/>
          <w:szCs w:val="24"/>
          <w:highlight w:val="none"/>
        </w:rPr>
        <w:t xml:space="preserve">后同合同款一起无息退还。引用盐城信用办推行的第三方信用报告，3A的供应商免交履约保证金，2A的供应商按一半金额缴纳(需提供信用管理部门备案的第三方信用报告)。</w:t>
      </w:r>
      <w:r>
        <w:rPr>
          <w:rFonts w:ascii="宋体" w:hAnsi="宋体" w:cs="宋体"/>
          <w:highlight w:val="none"/>
        </w:rPr>
      </w:r>
      <w:r/>
    </w:p>
    <w:p>
      <w:pPr>
        <w:pStyle w:val="834"/>
        <w:ind w:firstLine="480"/>
        <w:jc w:val="both"/>
        <w:spacing w:beforeAutospacing="0" w:afterAutospacing="0" w:line="480" w:lineRule="exact"/>
        <w:rPr>
          <w:rFonts w:ascii="宋体" w:hAnsi="宋体" w:cs="宋体"/>
          <w:highlight w:val="none"/>
        </w:rPr>
      </w:pPr>
      <w:r>
        <w:rPr>
          <w:rFonts w:hint="eastAsia" w:ascii="宋体" w:hAnsi="宋体" w:cs="宋体"/>
          <w:highlight w:val="none"/>
        </w:rPr>
        <w:t xml:space="preserve">6.2确需收取履约保证金的，履约保证金的缴纳形式：</w:t>
      </w:r>
      <w:r>
        <w:rPr>
          <w:rFonts w:ascii="宋体" w:hAnsi="宋体" w:cs="宋体"/>
          <w:highlight w:val="none"/>
        </w:rPr>
      </w:r>
      <w:r/>
    </w:p>
    <w:p>
      <w:pPr>
        <w:pStyle w:val="834"/>
        <w:ind w:firstLine="480"/>
        <w:jc w:val="both"/>
        <w:spacing w:beforeAutospacing="0" w:afterAutospacing="0" w:line="480" w:lineRule="exact"/>
        <w:rPr>
          <w:rFonts w:ascii="宋体" w:hAnsi="宋体" w:cs="宋体"/>
          <w:highlight w:val="none"/>
        </w:rPr>
      </w:pPr>
      <w:r>
        <w:rPr>
          <w:rFonts w:hint="eastAsia" w:ascii="宋体" w:hAnsi="宋体" w:cs="宋体"/>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highlight w:val="none"/>
        </w:rPr>
      </w:r>
      <w:r/>
    </w:p>
    <w:p>
      <w:pPr>
        <w:pStyle w:val="834"/>
        <w:ind w:firstLine="480"/>
        <w:jc w:val="both"/>
        <w:spacing w:beforeAutospacing="0" w:afterAutospacing="0" w:line="480" w:lineRule="exact"/>
        <w:rPr>
          <w:rFonts w:ascii="宋体" w:hAnsi="宋体" w:cs="宋体"/>
          <w:highlight w:val="none"/>
        </w:rPr>
      </w:pPr>
      <w:r>
        <w:rPr>
          <w:rFonts w:hint="eastAsia" w:ascii="宋体" w:hAnsi="宋体" w:cs="宋体"/>
          <w:highlight w:val="none"/>
        </w:rPr>
        <w:t xml:space="preserve">6.2.2 如以履约保函（保险）形式缴纳履约保证金，供应商可通过政府采购电子履约保函（保险）平台（www.jsdzbh.com）在线申请履约保函（保险）。</w:t>
      </w:r>
      <w:r>
        <w:rPr>
          <w:rFonts w:ascii="宋体" w:hAnsi="宋体" w:cs="宋体"/>
          <w:highlight w:val="none"/>
        </w:rPr>
      </w:r>
      <w:r/>
    </w:p>
    <w:p>
      <w:pPr>
        <w:pStyle w:val="834"/>
        <w:ind w:firstLine="480"/>
        <w:jc w:val="both"/>
        <w:spacing w:beforeAutospacing="0" w:afterAutospacing="0" w:line="480" w:lineRule="exact"/>
        <w:rPr>
          <w:highlight w:val="none"/>
        </w:rPr>
      </w:pPr>
      <w:r>
        <w:rPr>
          <w:rFonts w:hint="eastAsia" w:ascii="宋体" w:hAnsi="宋体" w:cs="宋体"/>
          <w:highlight w:val="none"/>
        </w:rPr>
        <w:t xml:space="preserve">6.3合同履行结束后，甲方应及时退还交纳的履约保证金。</w:t>
      </w:r>
      <w:r>
        <w:rPr>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6.4履约保证金的退还：</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6.4.1方式：无息退还至乙方缴纳履约保证金的账户。如为保函，在到期时自行失效。</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6.4.2时间：验收合格且采购人收到发票后30日内。</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6.4.3条件：按合同要求全部履约完成并经采购人验收合格，且采购人收到中标人出具的发票。</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6.4.4不予退还情形：</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除不可抗力情况外，投标人出现下列情形之一的，其履约保证金，招标人将视情节决定不予退还或部分不予退还。</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（1）中标人无正当理由拒绝签订合同的，或者在签订合同时向采购人提出附加条件或者更改合同实质性内容要求的；</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（2）中标人不履行与采购人订立的合同的；</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（3）中标人所供货物或服务不符合招标文件规定要求的；</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（4）中标人采取欺骗、弄虚作假方式投标的或与其它投标人串通投标的；</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（5）中标人将合同内容转包、违法分包的；</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（6）中标人故意捏造事实或伪造证明材料，进行虚假恶意投诉或反映的。</w:t>
      </w:r>
      <w:r>
        <w:rPr>
          <w:rFonts w:ascii="宋体" w:hAnsi="宋体" w:cs="宋体"/>
          <w:sz w:val="24"/>
          <w:highlight w:val="none"/>
        </w:rPr>
      </w:r>
      <w:r/>
    </w:p>
    <w:p>
      <w:pPr>
        <w:pStyle w:val="737"/>
        <w:ind w:firstLine="480"/>
        <w:spacing w:line="480" w:lineRule="exact"/>
        <w:rPr>
          <w:rFonts w:ascii="宋体" w:hAnsi="宋体" w:cs="宋体"/>
          <w:sz w:val="24"/>
          <w:highlight w:val="none"/>
        </w:rPr>
      </w:pPr>
      <w:r>
        <w:rPr>
          <w:rFonts w:hint="eastAsia" w:ascii="宋体" w:hAnsi="宋体" w:cs="宋体"/>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4"/>
          <w:highlight w:val="none"/>
        </w:rPr>
      </w:r>
      <w:r/>
    </w:p>
    <w:p>
      <w:pPr>
        <w:pStyle w:val="779"/>
        <w:ind w:firstLine="482"/>
        <w:jc w:val="both"/>
        <w:spacing w:before="145" w:beforeAutospacing="0" w:after="145" w:afterAutospacing="0" w:line="480" w:lineRule="exact"/>
        <w:rPr>
          <w:highlight w:val="none"/>
        </w:rPr>
      </w:pPr>
      <w:r>
        <w:rPr>
          <w:rFonts w:hint="eastAsia" w:ascii="宋体" w:hAnsi="宋体" w:eastAsia="宋体" w:cs="宋体"/>
          <w:b/>
          <w:color w:val="000000"/>
          <w:highlight w:val="none"/>
        </w:rPr>
        <w:t xml:space="preserve">七、合同转包或分包</w:t>
      </w:r>
      <w:r>
        <w:rPr>
          <w:highlight w:val="none"/>
        </w:rPr>
      </w:r>
      <w:r/>
    </w:p>
    <w:p>
      <w:pPr>
        <w:pStyle w:val="779"/>
        <w:ind w:firstLine="720"/>
        <w:jc w:val="both"/>
        <w:spacing w:before="145" w:beforeAutospacing="0" w:after="145" w:afterAutospacing="0" w:line="480" w:lineRule="exact"/>
        <w:rPr>
          <w:highlight w:val="none"/>
        </w:rPr>
      </w:pPr>
      <w:r>
        <w:rPr>
          <w:rFonts w:hint="eastAsia" w:ascii="宋体" w:hAnsi="宋体" w:eastAsia="宋体" w:cs="宋体"/>
          <w:color w:val="000000"/>
          <w:highlight w:val="none"/>
        </w:rPr>
        <w:t xml:space="preserve">7.1乙方不得将合同标的转包给他人履行。</w:t>
      </w:r>
      <w:r>
        <w:rPr>
          <w:highlight w:val="none"/>
        </w:rPr>
      </w:r>
      <w:r/>
    </w:p>
    <w:p>
      <w:pPr>
        <w:pStyle w:val="779"/>
        <w:ind w:firstLine="720"/>
        <w:jc w:val="both"/>
        <w:spacing w:before="145" w:beforeAutospacing="0" w:after="145" w:afterAutospacing="0" w:line="480" w:lineRule="exact"/>
        <w:rPr>
          <w:highlight w:val="none"/>
        </w:rPr>
      </w:pPr>
      <w:r>
        <w:rPr>
          <w:rFonts w:hint="eastAsia" w:ascii="宋体" w:hAnsi="宋体" w:eastAsia="宋体" w:cs="宋体"/>
          <w:color w:val="000000"/>
          <w:highlight w:val="none"/>
        </w:rPr>
        <w:t xml:space="preserve">7.2乙方不得将合同标的分包给他人履行。</w:t>
      </w:r>
      <w:r>
        <w:rPr>
          <w:highlight w:val="none"/>
        </w:rPr>
      </w:r>
      <w:r/>
    </w:p>
    <w:p>
      <w:pPr>
        <w:pStyle w:val="779"/>
        <w:ind w:firstLine="720"/>
        <w:jc w:val="both"/>
        <w:spacing w:before="145" w:beforeAutospacing="0" w:after="145" w:afterAutospacing="0" w:line="480" w:lineRule="exact"/>
        <w:rPr>
          <w:highlight w:val="none"/>
        </w:rPr>
      </w:pPr>
      <w:r>
        <w:rPr>
          <w:rFonts w:hint="eastAsia" w:ascii="宋体" w:hAnsi="宋体" w:eastAsia="宋体" w:cs="宋体"/>
          <w:color w:val="000000"/>
          <w:highlight w:val="none"/>
        </w:rPr>
        <w:t xml:space="preserve">7.3乙方如有转包或未经甲方同意的分包行为，甲方有权解除合同。</w:t>
      </w:r>
      <w:r>
        <w:rPr>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八、合同款项支付</w:t>
      </w:r>
      <w:r>
        <w:rPr>
          <w:highlight w:val="none"/>
        </w:rPr>
      </w:r>
      <w:r/>
    </w:p>
    <w:p>
      <w:pPr>
        <w:pStyle w:val="834"/>
        <w:ind w:firstLine="480"/>
        <w:jc w:val="both"/>
        <w:spacing w:beforeAutospacing="0" w:afterAutospacing="0" w:line="480" w:lineRule="exact"/>
        <w:rPr>
          <w:highlight w:val="none"/>
        </w:rPr>
      </w:pPr>
      <w:r>
        <w:rPr>
          <w:rFonts w:hint="eastAsia" w:ascii="宋体" w:hAnsi="宋体" w:cs="宋体"/>
          <w:highlight w:val="none"/>
        </w:rPr>
        <w:t xml:space="preserve">8.1合同款项的支付方式及进度安排</w:t>
      </w:r>
      <w:r>
        <w:rPr>
          <w:highlight w:val="none"/>
        </w:rPr>
      </w:r>
      <w:r/>
    </w:p>
    <w:p>
      <w:pPr>
        <w:pStyle w:val="779"/>
        <w:ind w:firstLine="480"/>
        <w:jc w:val="both"/>
        <w:spacing w:before="120" w:beforeAutospacing="0" w:after="120" w:afterAutospacing="0" w:line="500" w:lineRule="exact"/>
        <w:rPr>
          <w:color w:val="000000"/>
          <w:highlight w:val="none"/>
        </w:rPr>
      </w:pPr>
      <w:r>
        <w:rPr>
          <w:rFonts w:hint="eastAsia" w:ascii="宋体" w:hAnsi="宋体" w:eastAsia="宋体" w:cs="宋体"/>
          <w:color w:val="000000"/>
          <w:highlight w:val="none"/>
        </w:rPr>
        <w:t xml:space="preserve">8.1.1 预付款支付时间：合同签订后，采购人收到预付款发票后10个工作日内，预付款支付比例：合同金额的30%。</w:t>
      </w:r>
      <w:r>
        <w:rPr>
          <w:color w:val="000000"/>
          <w:highlight w:val="none"/>
        </w:rPr>
      </w:r>
      <w:r/>
    </w:p>
    <w:p>
      <w:pPr>
        <w:pStyle w:val="779"/>
        <w:ind w:firstLine="480"/>
        <w:jc w:val="both"/>
        <w:spacing w:before="120" w:beforeAutospacing="0" w:after="12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8.1.2 尾款支付时间：</w:t>
      </w:r>
      <w:r>
        <w:rPr>
          <w:rFonts w:hint="eastAsia" w:ascii="宋体" w:hAnsi="宋体" w:eastAsia="宋体" w:cs="宋体"/>
          <w:color w:val="000000"/>
          <w:highlight w:val="none"/>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7"/>
        <w:gridCol w:w="2730"/>
        <w:gridCol w:w="5179"/>
      </w:tblGrid>
      <w:tr>
        <w:trPr>
          <w:trHeight w:val="420"/>
        </w:trPr>
        <w:tc>
          <w:tcPr>
            <w:tcW w:w="51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730"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服务内容</w:t>
            </w:r>
            <w:r>
              <w:rPr>
                <w:rFonts w:hint="eastAsia" w:ascii="宋体" w:hAnsi="宋体" w:eastAsia="宋体" w:cs="宋体"/>
                <w:i w:val="0"/>
                <w:iCs w:val="0"/>
                <w:color w:val="000000"/>
                <w:sz w:val="21"/>
                <w:szCs w:val="21"/>
                <w:highlight w:val="none"/>
                <w:u w:val="none"/>
              </w:rPr>
            </w:r>
            <w:r/>
          </w:p>
        </w:tc>
        <w:tc>
          <w:tcPr>
            <w:tcW w:w="517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尾款付款时间及方式</w:t>
            </w:r>
            <w:r>
              <w:rPr>
                <w:rFonts w:hint="eastAsia" w:ascii="宋体" w:hAnsi="宋体" w:eastAsia="宋体" w:cs="宋体"/>
                <w:i w:val="0"/>
                <w:iCs w:val="0"/>
                <w:color w:val="000000"/>
                <w:sz w:val="21"/>
                <w:szCs w:val="21"/>
                <w:highlight w:val="none"/>
                <w:u w:val="none"/>
              </w:rPr>
            </w:r>
            <w:r/>
          </w:p>
        </w:tc>
      </w:tr>
      <w:tr>
        <w:trPr>
          <w:trHeight w:val="600"/>
        </w:trPr>
        <w:tc>
          <w:tcPr>
            <w:tcW w:w="51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730"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基础支撑软硬件</w:t>
            </w:r>
            <w:r>
              <w:rPr>
                <w:rFonts w:hint="eastAsia" w:ascii="宋体" w:hAnsi="宋体" w:eastAsia="宋体" w:cs="宋体"/>
                <w:i w:val="0"/>
                <w:iCs w:val="0"/>
                <w:color w:val="000000"/>
                <w:sz w:val="21"/>
                <w:szCs w:val="21"/>
                <w:highlight w:val="none"/>
                <w:u w:val="none"/>
              </w:rPr>
            </w:r>
            <w:r/>
          </w:p>
        </w:tc>
        <w:tc>
          <w:tcPr>
            <w:tcW w:w="517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交付并验收合格后，采购人收到发票后10个工作日内，支付该部分剩余全部款项</w:t>
            </w:r>
            <w:r>
              <w:rPr>
                <w:rFonts w:hint="eastAsia" w:ascii="宋体" w:hAnsi="宋体" w:eastAsia="宋体" w:cs="宋体"/>
                <w:i w:val="0"/>
                <w:iCs w:val="0"/>
                <w:color w:val="000000"/>
                <w:sz w:val="21"/>
                <w:szCs w:val="21"/>
                <w:highlight w:val="none"/>
                <w:u w:val="none"/>
              </w:rPr>
            </w:r>
            <w:r/>
          </w:p>
        </w:tc>
      </w:tr>
      <w:tr>
        <w:trPr>
          <w:trHeight w:val="600"/>
        </w:trPr>
        <w:tc>
          <w:tcPr>
            <w:tcW w:w="51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730"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数据治理</w:t>
            </w:r>
            <w:r>
              <w:rPr>
                <w:rFonts w:hint="eastAsia" w:ascii="宋体" w:hAnsi="宋体" w:eastAsia="宋体" w:cs="宋体"/>
                <w:i w:val="0"/>
                <w:iCs w:val="0"/>
                <w:color w:val="000000"/>
                <w:sz w:val="21"/>
                <w:szCs w:val="21"/>
                <w:highlight w:val="none"/>
                <w:u w:val="none"/>
              </w:rPr>
            </w:r>
            <w:r/>
          </w:p>
        </w:tc>
        <w:tc>
          <w:tcPr>
            <w:tcW w:w="517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交付并验收合格后，采购人收到发票后10个工作日内，支付该部分剩余全部款项</w:t>
            </w:r>
            <w:r>
              <w:rPr>
                <w:rFonts w:hint="eastAsia" w:ascii="宋体" w:hAnsi="宋体" w:eastAsia="宋体" w:cs="宋体"/>
                <w:i w:val="0"/>
                <w:iCs w:val="0"/>
                <w:color w:val="000000"/>
                <w:sz w:val="21"/>
                <w:szCs w:val="21"/>
                <w:highlight w:val="none"/>
                <w:u w:val="none"/>
              </w:rPr>
            </w:r>
            <w:r/>
          </w:p>
        </w:tc>
      </w:tr>
      <w:tr>
        <w:trPr>
          <w:trHeight w:val="600"/>
        </w:trPr>
        <w:tc>
          <w:tcPr>
            <w:tcW w:w="51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730"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管线修补测</w:t>
            </w:r>
            <w:r>
              <w:rPr>
                <w:rFonts w:hint="eastAsia" w:ascii="宋体" w:hAnsi="宋体" w:eastAsia="宋体" w:cs="宋体"/>
                <w:i w:val="0"/>
                <w:iCs w:val="0"/>
                <w:color w:val="000000"/>
                <w:sz w:val="21"/>
                <w:szCs w:val="21"/>
                <w:highlight w:val="none"/>
                <w:u w:val="none"/>
              </w:rPr>
            </w:r>
            <w:r/>
          </w:p>
        </w:tc>
        <w:tc>
          <w:tcPr>
            <w:tcW w:w="517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交付并验收合格后，采购人收到发票后10个工作日内，支付该部分剩余全部款项</w:t>
            </w:r>
            <w:r>
              <w:rPr>
                <w:rFonts w:hint="eastAsia" w:ascii="宋体" w:hAnsi="宋体" w:eastAsia="宋体" w:cs="宋体"/>
                <w:i w:val="0"/>
                <w:iCs w:val="0"/>
                <w:color w:val="000000"/>
                <w:sz w:val="21"/>
                <w:szCs w:val="21"/>
                <w:highlight w:val="none"/>
                <w:u w:val="none"/>
              </w:rPr>
            </w:r>
            <w:r/>
          </w:p>
        </w:tc>
      </w:tr>
      <w:tr>
        <w:trPr>
          <w:trHeight w:val="600"/>
        </w:trPr>
        <w:tc>
          <w:tcPr>
            <w:tcW w:w="51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730"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信息管理系统开发</w:t>
            </w:r>
            <w:r>
              <w:rPr>
                <w:rFonts w:hint="eastAsia" w:ascii="宋体" w:hAnsi="宋体" w:eastAsia="宋体" w:cs="宋体"/>
                <w:i w:val="0"/>
                <w:iCs w:val="0"/>
                <w:color w:val="000000"/>
                <w:sz w:val="21"/>
                <w:szCs w:val="21"/>
                <w:highlight w:val="none"/>
                <w:u w:val="none"/>
              </w:rPr>
            </w:r>
            <w:r/>
          </w:p>
        </w:tc>
        <w:tc>
          <w:tcPr>
            <w:tcW w:w="517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交付并通过终验后，采购人收到发票后10个工作日内，支部该部分款项的60%，维保期满后支付该部分剩余全部款项</w:t>
            </w:r>
            <w:r>
              <w:rPr>
                <w:rFonts w:hint="eastAsia" w:ascii="宋体" w:hAnsi="宋体" w:eastAsia="宋体" w:cs="宋体"/>
                <w:i w:val="0"/>
                <w:iCs w:val="0"/>
                <w:color w:val="000000"/>
                <w:sz w:val="21"/>
                <w:szCs w:val="21"/>
                <w:highlight w:val="none"/>
                <w:u w:val="none"/>
              </w:rPr>
            </w:r>
            <w:r/>
          </w:p>
        </w:tc>
      </w:tr>
      <w:tr>
        <w:trPr>
          <w:trHeight w:val="600"/>
        </w:trPr>
        <w:tc>
          <w:tcPr>
            <w:tcW w:w="51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30"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其他费用（软件测评、系统集成、等级保护、密码测评）</w:t>
            </w:r>
            <w:r>
              <w:rPr>
                <w:rFonts w:hint="eastAsia" w:ascii="宋体" w:hAnsi="宋体" w:eastAsia="宋体" w:cs="宋体"/>
                <w:i w:val="0"/>
                <w:iCs w:val="0"/>
                <w:color w:val="000000"/>
                <w:sz w:val="21"/>
                <w:szCs w:val="21"/>
                <w:highlight w:val="none"/>
                <w:u w:val="none"/>
              </w:rPr>
            </w:r>
            <w:r/>
          </w:p>
        </w:tc>
        <w:tc>
          <w:tcPr>
            <w:tcW w:w="517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交付并通过终验后，采购人收到发票后10个工作日内，支付该部分剩余全部款项</w:t>
            </w:r>
            <w:r>
              <w:rPr>
                <w:rFonts w:hint="eastAsia" w:ascii="宋体" w:hAnsi="宋体" w:eastAsia="宋体" w:cs="宋体"/>
                <w:i w:val="0"/>
                <w:iCs w:val="0"/>
                <w:color w:val="000000"/>
                <w:sz w:val="21"/>
                <w:szCs w:val="21"/>
                <w:highlight w:val="none"/>
                <w:u w:val="none"/>
              </w:rPr>
            </w:r>
            <w:r/>
          </w:p>
        </w:tc>
      </w:tr>
    </w:tbl>
    <w:p>
      <w:pPr>
        <w:pStyle w:val="737"/>
        <w:ind w:firstLine="480"/>
        <w:spacing w:before="143" w:after="143"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注：以上付款均不计任何利息和相关费用，付款一律通过银行结转。每次付款前提是乙方已提供合法票据。</w:t>
      </w:r>
      <w:r>
        <w:rPr>
          <w:rFonts w:hint="eastAsia" w:ascii="宋体" w:hAnsi="宋体" w:eastAsia="宋体" w:cs="宋体"/>
          <w:bCs/>
          <w:sz w:val="24"/>
          <w:highlight w:val="none"/>
        </w:rPr>
      </w:r>
      <w:r/>
    </w:p>
    <w:p>
      <w:pPr>
        <w:pStyle w:val="737"/>
        <w:ind w:firstLine="480"/>
        <w:spacing w:before="143" w:after="143" w:line="400" w:lineRule="exact"/>
        <w:rPr>
          <w:rFonts w:hint="eastAsia" w:ascii="宋体" w:hAnsi="宋体" w:eastAsia="宋体" w:cs="Times New Roman"/>
          <w:sz w:val="24"/>
          <w:szCs w:val="21"/>
          <w:highlight w:val="none"/>
        </w:rPr>
      </w:pPr>
      <w:r>
        <w:rPr>
          <w:rFonts w:hint="eastAsia" w:ascii="宋体" w:hAnsi="宋体" w:eastAsia="宋体" w:cs="宋体"/>
          <w:bCs/>
          <w:sz w:val="24"/>
          <w:highlight w:val="none"/>
        </w:rPr>
        <w:t xml:space="preserve">2.</w:t>
      </w:r>
      <w:r>
        <w:rPr>
          <w:rFonts w:hint="eastAsia" w:ascii="宋体" w:hAnsi="宋体" w:eastAsia="宋体" w:cs="Times New Roman"/>
          <w:sz w:val="24"/>
          <w:szCs w:val="21"/>
          <w:highlight w:val="none"/>
        </w:rPr>
        <w:t xml:space="preserve">当采购数量与实际使用数量不一致时，乙方应根据实际使用量供货，如实际数量不足本次招标暂估量，最终以</w:t>
      </w:r>
      <w:r>
        <w:rPr>
          <w:rFonts w:hint="eastAsia" w:ascii="宋体" w:hAnsi="宋体" w:cs="Times New Roman"/>
          <w:sz w:val="24"/>
          <w:szCs w:val="21"/>
          <w:highlight w:val="none"/>
        </w:rPr>
        <w:t xml:space="preserve">验收</w:t>
      </w:r>
      <w:r>
        <w:rPr>
          <w:rFonts w:hint="eastAsia" w:ascii="宋体" w:hAnsi="宋体" w:eastAsia="宋体" w:cs="Times New Roman"/>
          <w:sz w:val="24"/>
          <w:szCs w:val="21"/>
          <w:highlight w:val="none"/>
        </w:rPr>
        <w:t xml:space="preserve">确认的数量按实结算（即实际使用量乘以成交单价进行计算）；如实际使用数量超过本次招标暂估量，则按中标总价进行结算。</w:t>
      </w:r>
      <w:r>
        <w:rPr>
          <w:rFonts w:hint="eastAsia" w:ascii="宋体" w:hAnsi="宋体" w:eastAsia="宋体" w:cs="Times New Roman"/>
          <w:sz w:val="24"/>
          <w:szCs w:val="21"/>
          <w:highlight w:val="none"/>
        </w:rPr>
      </w:r>
      <w:r/>
    </w:p>
    <w:p>
      <w:pPr>
        <w:pStyle w:val="737"/>
        <w:ind w:firstLine="480"/>
        <w:spacing w:before="143" w:after="143"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3.如需向与财政部门签署融资合作协议的银行办理授信申请的, 需在协作银行开立结算户作为回款专用户,作为该笔合同唯一的收款帐户，供货结束货款结算时，财政部门将政府采购款项直接支付到该账户。</w:t>
      </w:r>
      <w:r>
        <w:rPr>
          <w:rFonts w:hint="eastAsia" w:ascii="宋体" w:hAnsi="宋体" w:eastAsia="宋体" w:cs="宋体"/>
          <w:bCs/>
          <w:sz w:val="24"/>
          <w:highlight w:val="none"/>
        </w:rPr>
      </w:r>
      <w:r/>
    </w:p>
    <w:p>
      <w:pPr>
        <w:pStyle w:val="737"/>
        <w:ind w:firstLine="480"/>
        <w:spacing w:before="143" w:after="143"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根据《关于进一步提高政府采购透明度和采购效率相关事项的通知》财办库〔2023〕243号），对于满足合同约定支付条件的，采购人应当自收到发票后10个工作日内将资金支付到合同约定的供应商账户，鼓励采购人完善内部流程，自收到发票后1个工作日内完成资金支付事宜。</w:t>
      </w:r>
      <w:r>
        <w:rPr>
          <w:rFonts w:hint="eastAsia" w:ascii="宋体" w:hAnsi="宋体" w:eastAsia="宋体" w:cs="宋体"/>
          <w:bCs/>
          <w:sz w:val="24"/>
          <w:highlight w:val="none"/>
        </w:rPr>
      </w:r>
      <w:r/>
    </w:p>
    <w:p>
      <w:pPr>
        <w:pStyle w:val="779"/>
        <w:ind w:firstLine="482"/>
        <w:jc w:val="both"/>
        <w:spacing w:before="145" w:beforeAutospacing="0" w:after="145" w:afterAutospacing="0" w:line="480" w:lineRule="exact"/>
        <w:rPr>
          <w:highlight w:val="none"/>
        </w:rPr>
      </w:pPr>
      <w:r>
        <w:rPr>
          <w:rFonts w:hint="eastAsia" w:ascii="宋体" w:hAnsi="宋体" w:eastAsia="宋体" w:cs="宋体"/>
          <w:b/>
          <w:color w:val="000000"/>
          <w:highlight w:val="none"/>
        </w:rPr>
        <w:t xml:space="preserve">九、税费</w:t>
      </w:r>
      <w:r>
        <w:rPr>
          <w:highlight w:val="none"/>
        </w:rPr>
      </w:r>
      <w:r/>
    </w:p>
    <w:p>
      <w:pPr>
        <w:pStyle w:val="779"/>
        <w:ind w:firstLine="480"/>
        <w:jc w:val="both"/>
        <w:spacing w:before="145" w:beforeAutospacing="0" w:after="145" w:afterAutospacing="0" w:line="480" w:lineRule="exact"/>
        <w:rPr>
          <w:highlight w:val="none"/>
        </w:rPr>
      </w:pPr>
      <w:r>
        <w:rPr>
          <w:rFonts w:hint="eastAsia" w:ascii="宋体" w:hAnsi="宋体" w:eastAsia="宋体" w:cs="宋体"/>
          <w:color w:val="000000"/>
          <w:highlight w:val="none"/>
        </w:rPr>
        <w:t xml:space="preserve">9.1本合同执行中相关的一切税费均由乙方负担。</w:t>
      </w:r>
      <w:r>
        <w:rPr>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十、项目验收</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10.1甲方依法组织履约验收工作。</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10.2甲方在组织履约验收前，将根据项目特点制定验收方案，明确履约验                           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10.3对于实际使用人和甲方分离的项目，甲方邀请实际使用人参与验收。</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10.4如有必要，甲方邀请参加本项目的其他供应商或第三方专业机构及专家参与验收，相关意见将作为验收书的参考资料。</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highlight w:val="none"/>
          <w:lang w:val="en-US" w:eastAsia="zh-CN"/>
        </w:rPr>
        <w:t xml:space="preserve">中华人民共和国</w:t>
      </w:r>
      <w:r>
        <w:rPr>
          <w:rFonts w:hint="eastAsia" w:ascii="宋体" w:hAnsi="宋体" w:eastAsia="宋体" w:cs="宋体"/>
          <w:color w:val="000000"/>
          <w:highlight w:val="none"/>
        </w:rPr>
        <w:t xml:space="preserve">民法典》。乙方在履约过程中有政府采购法律法规规定的违法违规情形的,甲方将及时报告本级财政部门。</w:t>
      </w:r>
      <w:r>
        <w:rPr>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十一、违约责任</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11.1甲方无正当理由拒绝接受乙方提供服务的，甲方向乙方偿付拒绝接受服务合同价款总值</w:t>
      </w:r>
      <w:r>
        <w:rPr>
          <w:rFonts w:hint="eastAsia" w:ascii="宋体" w:hAnsi="宋体" w:eastAsia="宋体" w:cs="宋体"/>
          <w:color w:val="000000"/>
          <w:highlight w:val="none"/>
          <w:u w:val="single"/>
          <w:lang w:val="en-US" w:eastAsia="zh-CN"/>
        </w:rPr>
        <w:t xml:space="preserve">百分之五</w:t>
      </w:r>
      <w:r>
        <w:rPr>
          <w:rFonts w:hint="eastAsia" w:ascii="宋体" w:hAnsi="宋体" w:eastAsia="宋体" w:cs="宋体"/>
          <w:color w:val="000000"/>
          <w:highlight w:val="none"/>
        </w:rPr>
        <w:t xml:space="preserve">的违约金。</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11.2甲方无故逾期验收和办理合同款项支付手续的,甲方应按逾期付款总额</w:t>
      </w:r>
      <w:r>
        <w:rPr>
          <w:rFonts w:hint="eastAsia" w:ascii="宋体" w:hAnsi="宋体" w:eastAsia="宋体" w:cs="宋体"/>
          <w:color w:val="000000"/>
          <w:highlight w:val="none"/>
          <w:u w:val="single"/>
          <w:lang w:val="en-US" w:eastAsia="zh-CN"/>
        </w:rPr>
        <w:t xml:space="preserve">万分之五</w:t>
      </w:r>
      <w:r>
        <w:rPr>
          <w:rFonts w:hint="eastAsia" w:ascii="宋体" w:hAnsi="宋体" w:eastAsia="宋体" w:cs="宋体"/>
          <w:color w:val="000000"/>
          <w:highlight w:val="none"/>
        </w:rPr>
        <w:t xml:space="preserve">每日向乙方支付违约金。</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highlight w:val="none"/>
          <w:u w:val="single"/>
          <w:lang w:val="en-US" w:eastAsia="zh-CN"/>
        </w:rPr>
        <w:t xml:space="preserve">百分之五</w:t>
      </w:r>
      <w:r>
        <w:rPr>
          <w:rFonts w:hint="eastAsia" w:ascii="宋体" w:hAnsi="宋体" w:eastAsia="宋体" w:cs="宋体"/>
          <w:color w:val="000000"/>
          <w:highlight w:val="none"/>
        </w:rPr>
        <w:t xml:space="preserve">的违约金，如造成甲方损失超过违约金的，超出部分由乙方继续承担赔偿责任。 </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11.4乙方所提供服务的标准不符合合同规定及招标文件规定标准的，甲方有权拒绝接受服务，并可单方面解除合同。</w:t>
      </w:r>
      <w:r>
        <w:rPr>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十二、不可抗力事件处理</w:t>
      </w:r>
      <w:r>
        <w:rPr>
          <w:highlight w:val="none"/>
        </w:rPr>
      </w:r>
      <w:r/>
    </w:p>
    <w:p>
      <w:pPr>
        <w:pStyle w:val="779"/>
        <w:ind w:firstLine="480"/>
        <w:jc w:val="both"/>
        <w:spacing w:before="120" w:beforeAutospacing="0" w:after="120" w:afterAutospacing="0" w:line="400" w:lineRule="exact"/>
        <w:rPr>
          <w:rFonts w:hint="eastAsia" w:ascii="宋体" w:hAnsi="宋体" w:eastAsia="宋体" w:cs="宋体"/>
          <w:highlight w:val="none"/>
        </w:rPr>
      </w:pPr>
      <w:r>
        <w:rPr>
          <w:rFonts w:hint="eastAsia" w:ascii="宋体" w:hAnsi="宋体" w:eastAsia="宋体" w:cs="宋体"/>
          <w:color w:val="000000"/>
          <w:highlight w:val="none"/>
        </w:rPr>
        <w:t xml:space="preserve">12.1在合同有效期内，任何一方因不可抗力事件导致不能履行合同，则合同履行期可延长，其延长期与不可抗力影响期相同。</w:t>
      </w:r>
      <w:r>
        <w:rPr>
          <w:rFonts w:hint="eastAsia" w:ascii="宋体" w:hAnsi="宋体" w:eastAsia="宋体" w:cs="宋体"/>
          <w:highlight w:val="none"/>
        </w:rPr>
      </w:r>
      <w:r/>
    </w:p>
    <w:p>
      <w:pPr>
        <w:pStyle w:val="779"/>
        <w:ind w:firstLine="480"/>
        <w:jc w:val="both"/>
        <w:spacing w:before="120" w:beforeAutospacing="0" w:after="120" w:afterAutospacing="0" w:line="400" w:lineRule="exact"/>
        <w:rPr>
          <w:rFonts w:hint="eastAsia" w:ascii="宋体" w:hAnsi="宋体" w:eastAsia="宋体" w:cs="宋体"/>
          <w:highlight w:val="none"/>
        </w:rPr>
      </w:pPr>
      <w:r>
        <w:rPr>
          <w:rFonts w:hint="eastAsia" w:ascii="宋体" w:hAnsi="宋体" w:eastAsia="宋体" w:cs="宋体"/>
          <w:color w:val="000000"/>
          <w:highlight w:val="none"/>
        </w:rPr>
        <w:t xml:space="preserve">12.2不可抗力事件发生后，应立即通知对方，并寄送有关权威机构出具的证明。</w:t>
      </w:r>
      <w:r>
        <w:rPr>
          <w:rFonts w:hint="eastAsia" w:ascii="宋体" w:hAnsi="宋体" w:eastAsia="宋体" w:cs="宋体"/>
          <w:highlight w:val="none"/>
        </w:rPr>
      </w:r>
      <w:r/>
    </w:p>
    <w:p>
      <w:pPr>
        <w:pStyle w:val="779"/>
        <w:ind w:firstLine="480"/>
        <w:jc w:val="both"/>
        <w:spacing w:before="120" w:beforeAutospacing="0" w:after="120" w:afterAutospacing="0" w:line="400" w:lineRule="exact"/>
        <w:rPr>
          <w:rFonts w:hint="eastAsia" w:ascii="宋体" w:hAnsi="宋体" w:eastAsia="宋体" w:cs="宋体"/>
          <w:highlight w:val="none"/>
        </w:rPr>
      </w:pPr>
      <w:r>
        <w:rPr>
          <w:rFonts w:hint="eastAsia" w:ascii="宋体" w:hAnsi="宋体" w:eastAsia="宋体" w:cs="宋体"/>
          <w:color w:val="000000"/>
          <w:highlight w:val="none"/>
        </w:rPr>
        <w:t xml:space="preserve">12.3不可抗力事件延续120天以上，双方应通过友好协商，确定是否继续履行合同。</w:t>
      </w:r>
      <w:r>
        <w:rPr>
          <w:rFonts w:hint="eastAsia" w:ascii="宋体" w:hAnsi="宋体" w:eastAsia="宋体" w:cs="宋体"/>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十三、解决争议的方法</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13.1双方在签订、履行合同中所发生的一切争议，应通过友好协商解决。如协商不成，由甲方住所地人民法院管辖。</w:t>
      </w:r>
      <w:r>
        <w:rPr>
          <w:highlight w:val="none"/>
        </w:rPr>
      </w:r>
      <w:r/>
    </w:p>
    <w:p>
      <w:pPr>
        <w:pStyle w:val="779"/>
        <w:ind w:firstLine="482"/>
        <w:jc w:val="both"/>
        <w:spacing w:before="120" w:beforeAutospacing="0" w:after="120" w:afterAutospacing="0" w:line="480" w:lineRule="exact"/>
        <w:rPr>
          <w:highlight w:val="none"/>
        </w:rPr>
      </w:pPr>
      <w:r>
        <w:rPr>
          <w:rFonts w:hint="eastAsia" w:ascii="宋体" w:hAnsi="宋体" w:eastAsia="宋体" w:cs="宋体"/>
          <w:b/>
          <w:color w:val="000000"/>
          <w:highlight w:val="none"/>
        </w:rPr>
        <w:t xml:space="preserve">十四、合同生效及其它</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14.1合同经双方法定代表人或授权委托代表人签字并加盖单位公章后生效。</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14.2本合同未尽事宜，遵照《</w:t>
      </w:r>
      <w:r>
        <w:rPr>
          <w:rFonts w:hint="eastAsia" w:ascii="宋体" w:hAnsi="宋体" w:eastAsia="宋体" w:cs="宋体"/>
          <w:color w:val="000000"/>
          <w:highlight w:val="none"/>
          <w:lang w:val="en-US" w:eastAsia="zh-CN"/>
        </w:rPr>
        <w:t xml:space="preserve">中华人民共和国</w:t>
      </w:r>
      <w:r>
        <w:rPr>
          <w:rFonts w:hint="eastAsia" w:ascii="宋体" w:hAnsi="宋体" w:eastAsia="宋体" w:cs="宋体"/>
          <w:color w:val="000000"/>
          <w:highlight w:val="none"/>
        </w:rPr>
        <w:t xml:space="preserve">民法典》、《</w:t>
      </w:r>
      <w:r>
        <w:rPr>
          <w:rFonts w:hint="eastAsia" w:ascii="宋体" w:hAnsi="宋体" w:eastAsia="宋体" w:cs="宋体"/>
          <w:color w:val="000000"/>
          <w:highlight w:val="none"/>
          <w:lang w:val="en-US" w:eastAsia="zh-CN"/>
        </w:rPr>
        <w:t xml:space="preserve">中华人民共和国</w:t>
      </w:r>
      <w:r>
        <w:rPr>
          <w:rFonts w:hint="eastAsia" w:ascii="宋体" w:hAnsi="宋体" w:eastAsia="宋体" w:cs="宋体"/>
          <w:color w:val="000000"/>
          <w:highlight w:val="none"/>
        </w:rPr>
        <w:t xml:space="preserve">政府采购法》有关条文执行。</w:t>
      </w:r>
      <w:r>
        <w:rPr>
          <w:highlight w:val="none"/>
        </w:rPr>
      </w:r>
      <w:r/>
    </w:p>
    <w:p>
      <w:pPr>
        <w:pStyle w:val="779"/>
        <w:ind w:firstLine="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14.3 本合同正本一式两份，具有同等法律效力，甲方、乙方各执一份。</w:t>
      </w:r>
      <w:r>
        <w:rPr>
          <w:highlight w:val="none"/>
        </w:rPr>
      </w:r>
      <w:r/>
    </w:p>
    <w:p>
      <w:pPr>
        <w:pStyle w:val="779"/>
        <w:ind w:left="480" w:hanging="48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  甲方：                乙方： </w:t>
      </w:r>
      <w:r>
        <w:rPr>
          <w:highlight w:val="none"/>
        </w:rPr>
      </w:r>
      <w:r/>
    </w:p>
    <w:p>
      <w:pPr>
        <w:pStyle w:val="779"/>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  地址：               地址： </w:t>
      </w:r>
      <w:r>
        <w:rPr>
          <w:highlight w:val="none"/>
        </w:rPr>
      </w:r>
      <w:r/>
    </w:p>
    <w:p>
      <w:pPr>
        <w:pStyle w:val="779"/>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  法定代表人或授权代表：       法定代表人或授权代表：</w:t>
      </w:r>
      <w:r>
        <w:rPr>
          <w:highlight w:val="none"/>
        </w:rPr>
      </w:r>
      <w:r/>
    </w:p>
    <w:p>
      <w:pPr>
        <w:pStyle w:val="779"/>
        <w:ind w:firstLine="240"/>
        <w:jc w:val="both"/>
        <w:spacing w:before="120" w:beforeAutospacing="0" w:after="120" w:afterAutospacing="0" w:line="480" w:lineRule="exact"/>
        <w:rPr>
          <w:highlight w:val="none"/>
        </w:rPr>
      </w:pPr>
      <w:r>
        <w:rPr>
          <w:rFonts w:hint="eastAsia" w:ascii="宋体" w:hAnsi="宋体" w:eastAsia="宋体" w:cs="宋体"/>
          <w:color w:val="000000"/>
          <w:highlight w:val="none"/>
        </w:rPr>
        <w:t xml:space="preserve">联系电话：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联系电话：          </w:t>
      </w:r>
      <w:r>
        <w:rPr>
          <w:highlight w:val="none"/>
        </w:rPr>
      </w:r>
      <w:r/>
    </w:p>
    <w:p>
      <w:pPr>
        <w:pStyle w:val="775"/>
        <w:ind w:left="336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75"/>
        <w:ind w:left="336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签订日期：   年    月   日</w:t>
      </w:r>
      <w:r>
        <w:rPr>
          <w:rFonts w:hint="eastAsia" w:ascii="宋体" w:hAnsi="宋体" w:eastAsia="宋体" w:cs="宋体"/>
          <w:color w:val="000000"/>
          <w:szCs w:val="21"/>
          <w:highlight w:val="none"/>
        </w:rPr>
      </w:r>
      <w:r/>
    </w:p>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8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8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numPr>
          <w:ilvl w:val="0"/>
          <w:numId w:val="2"/>
        </w:numPr>
        <w:jc w:val="center"/>
        <w:spacing w:line="360" w:lineRule="auto"/>
        <w:rPr>
          <w:rFonts w:hint="eastAsia" w:ascii="宋体" w:hAnsi="宋体" w:eastAsia="宋体" w:cs="宋体"/>
          <w:color w:val="000000"/>
          <w:sz w:val="44"/>
          <w:szCs w:val="44"/>
          <w:highlight w:val="none"/>
        </w:rPr>
      </w:pPr>
      <w:r/>
      <w:bookmarkEnd w:id="56"/>
      <w:r>
        <w:rPr>
          <w:rFonts w:hint="eastAsia" w:ascii="宋体" w:hAnsi="宋体" w:eastAsia="宋体" w:cs="宋体"/>
          <w:color w:val="000000"/>
          <w:sz w:val="44"/>
          <w:szCs w:val="44"/>
          <w:highlight w:val="none"/>
        </w:rPr>
        <w:t xml:space="preserve">采购需求</w:t>
      </w:r>
      <w:bookmarkEnd w:id="49"/>
      <w:r/>
      <w:bookmarkEnd w:id="50"/>
      <w:r/>
      <w:bookmarkEnd w:id="51"/>
      <w:r/>
      <w:bookmarkEnd w:id="57"/>
      <w:r/>
      <w:bookmarkEnd w:id="58"/>
      <w:r>
        <w:rPr>
          <w:rFonts w:hint="eastAsia" w:ascii="宋体" w:hAnsi="宋体" w:eastAsia="宋体" w:cs="宋体"/>
          <w:color w:val="000000"/>
          <w:sz w:val="44"/>
          <w:szCs w:val="44"/>
          <w:highlight w:val="none"/>
        </w:rPr>
      </w:r>
      <w:r/>
    </w:p>
    <w:p>
      <w:pPr>
        <w:pStyle w:val="737"/>
        <w:ind w:firstLine="482"/>
        <w:spacing w:line="480" w:lineRule="exact"/>
        <w:rPr>
          <w:highlight w:val="none"/>
        </w:rPr>
      </w:pPr>
      <w:r>
        <w:rPr>
          <w:rFonts w:hint="eastAsia" w:ascii="宋体" w:hAnsi="宋体" w:eastAsia="宋体" w:cs="宋体"/>
          <w:b/>
          <w:bCs/>
          <w:sz w:val="24"/>
          <w:highlight w:val="none"/>
        </w:rPr>
        <w:t xml:space="preserve">项目属性：服务类项目</w:t>
      </w:r>
      <w:r>
        <w:rPr>
          <w:highlight w:val="none"/>
        </w:rPr>
      </w:r>
      <w:r/>
    </w:p>
    <w:p>
      <w:pPr>
        <w:pStyle w:val="737"/>
        <w:spacing w:line="360" w:lineRule="auto"/>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一、建设背景</w:t>
      </w:r>
      <w:r>
        <w:rPr>
          <w:rFonts w:hint="eastAsia" w:ascii="宋体" w:hAnsi="宋体" w:eastAsia="宋体" w:cs="宋体"/>
          <w:b/>
          <w:sz w:val="24"/>
          <w:highlight w:val="none"/>
        </w:rPr>
      </w:r>
      <w:r/>
    </w:p>
    <w:p>
      <w:pPr>
        <w:pStyle w:val="737"/>
        <w:ind w:firstLine="480"/>
        <w:spacing w:line="360" w:lineRule="auto"/>
        <w:rPr>
          <w:rFonts w:hint="eastAsia" w:ascii="宋体" w:hAnsi="宋体" w:eastAsia="宋体" w:cs="宋体"/>
          <w:sz w:val="24"/>
          <w:highlight w:val="none"/>
        </w:rPr>
      </w:pPr>
      <w:r/>
      <w:bookmarkStart w:id="155" w:name="OLE_LINK88"/>
      <w:r>
        <w:rPr>
          <w:rFonts w:hint="eastAsia" w:ascii="宋体" w:hAnsi="宋体" w:eastAsia="宋体" w:cs="宋体"/>
          <w:sz w:val="24"/>
          <w:highlight w:val="none"/>
        </w:rPr>
        <w:t xml:space="preserve">根据市编办《关于同意调整盐城市基础地理信息管理中心机构编制事项的批复》（盐编复〔2021〕9号）文件</w:t>
      </w:r>
      <w:bookmarkEnd w:id="155"/>
      <w:r>
        <w:rPr>
          <w:rFonts w:hint="eastAsia" w:ascii="宋体" w:hAnsi="宋体" w:eastAsia="宋体" w:cs="宋体"/>
          <w:sz w:val="24"/>
          <w:highlight w:val="none"/>
        </w:rPr>
        <w:t xml:space="preserve">，地下管网数据检验、收集、整理、存储、更新和利用等地下管线管理职能已经从市住建局移交到了市资规局。为保障地下管线正常运行和城市公共安全，进一步提升盐城市地下管线养护管理水平，盐城市自然资源和规划局结合盐城市地下管线实际建设情况，立足城市安全工作和地下管线信息系统建设工作，依据地下管线管理职责，依托现有信息化资源，针对信息系统国产化、市区（县）一体化、地下管线立体化审批以及日常系统运行工作中总结的问题和不足，提出了开展盐城市区地下管线信息管理系统升级及数据治理采集项目。</w:t>
      </w:r>
      <w:r>
        <w:rPr>
          <w:rFonts w:hint="eastAsia" w:ascii="宋体" w:hAnsi="宋体" w:eastAsia="宋体" w:cs="宋体"/>
          <w:sz w:val="24"/>
          <w:highlight w:val="none"/>
        </w:rPr>
      </w:r>
      <w:r/>
    </w:p>
    <w:p>
      <w:pPr>
        <w:pStyle w:val="737"/>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二、建设目标</w:t>
      </w:r>
      <w:r>
        <w:rPr>
          <w:rFonts w:hint="eastAsia" w:ascii="宋体" w:hAnsi="宋体" w:eastAsia="宋体" w:cs="宋体"/>
          <w:b/>
          <w:sz w:val="24"/>
          <w:highlight w:val="none"/>
        </w:rPr>
      </w:r>
      <w:r/>
    </w:p>
    <w:p>
      <w:pPr>
        <w:pStyle w:val="826"/>
        <w:numPr>
          <w:ilvl w:val="0"/>
          <w:numId w:val="3"/>
        </w:numPr>
        <w:spacing w:line="360" w:lineRule="auto"/>
        <w:rPr>
          <w:rFonts w:hint="eastAsia" w:ascii="宋体" w:hAnsi="宋体" w:eastAsia="宋体" w:cs="宋体"/>
          <w:sz w:val="24"/>
          <w:highlight w:val="none"/>
        </w:rPr>
      </w:pPr>
      <w:r/>
      <w:bookmarkStart w:id="156" w:name="_Toc22687"/>
      <w:r/>
      <w:bookmarkStart w:id="157" w:name="OLE_LINK8"/>
      <w:r/>
      <w:bookmarkStart w:id="158" w:name="_Toc165620367"/>
      <w:r>
        <w:rPr>
          <w:rFonts w:hint="eastAsia" w:ascii="宋体" w:hAnsi="宋体" w:eastAsia="宋体" w:cs="宋体"/>
          <w:sz w:val="24"/>
          <w:highlight w:val="none"/>
        </w:rPr>
        <w:t xml:space="preserve">模式升级：建设一套市区（县）一体化地下管线信息管理</w:t>
      </w:r>
      <w:bookmarkEnd w:id="158"/>
      <w:r>
        <w:rPr>
          <w:rFonts w:hint="eastAsia" w:ascii="宋体" w:hAnsi="宋体" w:eastAsia="宋体" w:cs="宋体"/>
          <w:sz w:val="24"/>
          <w:highlight w:val="none"/>
        </w:rPr>
        <w:t xml:space="preserve">系统</w:t>
      </w:r>
      <w:bookmarkEnd w:id="156"/>
      <w:r/>
      <w:bookmarkEnd w:id="157"/>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numPr>
          <w:ilvl w:val="0"/>
          <w:numId w:val="3"/>
        </w:numPr>
        <w:spacing w:line="360" w:lineRule="auto"/>
        <w:rPr>
          <w:rFonts w:hint="eastAsia" w:ascii="宋体" w:hAnsi="宋体" w:eastAsia="宋体" w:cs="宋体"/>
          <w:sz w:val="24"/>
          <w:highlight w:val="none"/>
        </w:rPr>
      </w:pPr>
      <w:r/>
      <w:bookmarkStart w:id="159" w:name="OLE_LINK9"/>
      <w:r/>
      <w:bookmarkStart w:id="160" w:name="_Toc11387"/>
      <w:r/>
      <w:bookmarkStart w:id="161" w:name="_Toc165620366"/>
      <w:r>
        <w:rPr>
          <w:rFonts w:hint="eastAsia" w:ascii="宋体" w:hAnsi="宋体" w:eastAsia="宋体" w:cs="宋体"/>
          <w:sz w:val="24"/>
          <w:highlight w:val="none"/>
        </w:rPr>
        <w:t xml:space="preserve">技术升级：实现地下管线信息管理全面国产化</w:t>
      </w:r>
      <w:bookmarkEnd w:id="161"/>
      <w:r>
        <w:rPr>
          <w:rFonts w:hint="eastAsia" w:ascii="宋体" w:hAnsi="宋体" w:eastAsia="宋体" w:cs="宋体"/>
          <w:sz w:val="24"/>
          <w:highlight w:val="none"/>
        </w:rPr>
        <w:t xml:space="preserve">替代</w:t>
      </w:r>
      <w:bookmarkEnd w:id="159"/>
      <w:r/>
      <w:bookmarkEnd w:id="160"/>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numPr>
          <w:ilvl w:val="0"/>
          <w:numId w:val="3"/>
        </w:numPr>
        <w:spacing w:line="360" w:lineRule="auto"/>
        <w:rPr>
          <w:rFonts w:hint="eastAsia" w:ascii="宋体" w:hAnsi="宋体" w:eastAsia="宋体" w:cs="宋体"/>
          <w:sz w:val="24"/>
          <w:highlight w:val="none"/>
        </w:rPr>
      </w:pPr>
      <w:r/>
      <w:bookmarkStart w:id="162" w:name="OLE_LINK10"/>
      <w:r/>
      <w:bookmarkStart w:id="163" w:name="_Toc21391"/>
      <w:r/>
      <w:bookmarkStart w:id="164" w:name="_Toc165620364"/>
      <w:r>
        <w:rPr>
          <w:rFonts w:hint="eastAsia" w:ascii="宋体" w:hAnsi="宋体" w:eastAsia="宋体" w:cs="宋体"/>
          <w:sz w:val="24"/>
          <w:highlight w:val="none"/>
        </w:rPr>
        <w:t xml:space="preserve">数据升级：丰富盐城市地下管线</w:t>
      </w:r>
      <w:bookmarkEnd w:id="164"/>
      <w:r>
        <w:rPr>
          <w:rFonts w:hint="eastAsia" w:ascii="宋体" w:hAnsi="宋体" w:eastAsia="宋体" w:cs="宋体"/>
          <w:sz w:val="24"/>
          <w:highlight w:val="none"/>
        </w:rPr>
        <w:t xml:space="preserve">数据类型，进一步提升数据质量</w:t>
      </w:r>
      <w:bookmarkEnd w:id="162"/>
      <w:r/>
      <w:bookmarkEnd w:id="163"/>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numPr>
          <w:ilvl w:val="0"/>
          <w:numId w:val="3"/>
        </w:numPr>
        <w:spacing w:line="360" w:lineRule="auto"/>
        <w:rPr>
          <w:rFonts w:hint="eastAsia" w:ascii="宋体" w:hAnsi="宋体" w:eastAsia="宋体" w:cs="宋体"/>
          <w:sz w:val="24"/>
          <w:highlight w:val="none"/>
        </w:rPr>
      </w:pPr>
      <w:r/>
      <w:bookmarkStart w:id="165" w:name="_Toc27788"/>
      <w:r/>
      <w:bookmarkStart w:id="166" w:name="OLE_LINK11"/>
      <w:r>
        <w:rPr>
          <w:rFonts w:hint="eastAsia" w:ascii="宋体" w:hAnsi="宋体" w:eastAsia="宋体" w:cs="宋体"/>
          <w:sz w:val="24"/>
          <w:highlight w:val="none"/>
        </w:rPr>
        <w:t xml:space="preserve">管理升级：实现市区（县）地下管线一体化管理</w:t>
      </w:r>
      <w:bookmarkEnd w:id="165"/>
      <w:r/>
      <w:bookmarkEnd w:id="166"/>
      <w:r>
        <w:rPr>
          <w:rFonts w:hint="eastAsia" w:ascii="宋体" w:hAnsi="宋体" w:eastAsia="宋体" w:cs="宋体"/>
          <w:sz w:val="24"/>
          <w:highlight w:val="none"/>
        </w:rPr>
        <w:t xml:space="preserve">与审批。</w:t>
      </w:r>
      <w:r>
        <w:rPr>
          <w:rFonts w:hint="eastAsia" w:ascii="宋体" w:hAnsi="宋体" w:eastAsia="宋体" w:cs="宋体"/>
          <w:sz w:val="24"/>
          <w:highlight w:val="none"/>
        </w:rPr>
      </w:r>
      <w:r/>
    </w:p>
    <w:p>
      <w:pPr>
        <w:pStyle w:val="737"/>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·三、建设内容</w:t>
      </w:r>
      <w:r>
        <w:rPr>
          <w:rFonts w:hint="eastAsia" w:ascii="宋体" w:hAnsi="宋体" w:eastAsia="宋体" w:cs="宋体"/>
          <w:b/>
          <w:sz w:val="24"/>
          <w:highlight w:val="none"/>
        </w:rPr>
      </w:r>
      <w:r/>
    </w:p>
    <w:p>
      <w:pPr>
        <w:pStyle w:val="737"/>
        <w:ind w:firstLine="480"/>
        <w:spacing w:line="360" w:lineRule="auto"/>
        <w:rPr>
          <w:rFonts w:hint="eastAsia" w:ascii="宋体" w:hAnsi="宋体" w:eastAsia="宋体" w:cs="宋体"/>
          <w:sz w:val="24"/>
          <w:highlight w:val="none"/>
        </w:rPr>
        <w:outlineLvl w:val="1"/>
      </w:pPr>
      <w:r/>
      <w:bookmarkStart w:id="167" w:name="_Toc11344"/>
      <w:r/>
      <w:bookmarkStart w:id="168" w:name="_Toc97663267"/>
      <w:r/>
      <w:bookmarkStart w:id="169" w:name="OLE_LINK84"/>
      <w:r>
        <w:rPr>
          <w:rFonts w:hint="eastAsia" w:ascii="宋体" w:hAnsi="宋体" w:eastAsia="宋体" w:cs="宋体"/>
          <w:sz w:val="24"/>
          <w:highlight w:val="none"/>
        </w:rPr>
        <w:t xml:space="preserve">（一）盐城市地下管线信息化技术要求和运行管理</w:t>
      </w:r>
      <w:bookmarkEnd w:id="168"/>
      <w:r>
        <w:rPr>
          <w:rFonts w:hint="eastAsia" w:ascii="宋体" w:hAnsi="宋体" w:eastAsia="宋体" w:cs="宋体"/>
          <w:sz w:val="24"/>
          <w:highlight w:val="none"/>
        </w:rPr>
        <w:t xml:space="preserve">制度制定</w:t>
      </w:r>
      <w:bookmarkEnd w:id="167"/>
      <w:r/>
      <w:bookmarkEnd w:id="169"/>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总体要求：充分借鉴利用已有的国家、行业及地方标准，学习兄弟城市的先进经验，制定适合盐城市地方特色的地下管线信息化技术要求及相关的运行维护管理规章制度。</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具体内容如下：</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1、制定盐城市地下管线数据库建库技术要求</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w:t>
      </w:r>
      <w:bookmarkStart w:id="170" w:name="OLE_LINK91"/>
      <w:r>
        <w:rPr>
          <w:rFonts w:hint="eastAsia" w:ascii="宋体" w:hAnsi="宋体" w:eastAsia="宋体" w:cs="宋体"/>
          <w:sz w:val="24"/>
          <w:highlight w:val="none"/>
        </w:rPr>
        <w:t xml:space="preserve">CJJ/T 269-2017 《城市综合地下管线信息系统技术规范》</w:t>
      </w:r>
      <w:bookmarkEnd w:id="170"/>
      <w:r>
        <w:rPr>
          <w:rFonts w:hint="eastAsia" w:ascii="宋体" w:hAnsi="宋体" w:eastAsia="宋体" w:cs="宋体"/>
          <w:sz w:val="24"/>
          <w:highlight w:val="none"/>
        </w:rPr>
        <w:t xml:space="preserve">、DGJ32/TJ 187-2015《江苏省城市地下管线数据标准》、DGJ32/TJ 213-2016《江苏省城市地下管线信息管理系统技术规范》等文件，结合盐城市地下管线实际情况，同时考虑到区县地下管线数据更新以及城市生命线工程对地下管线管理的要求，</w:t>
      </w:r>
      <w:bookmarkStart w:id="171" w:name="OLE_LINK22"/>
      <w:r>
        <w:rPr>
          <w:rFonts w:hint="eastAsia" w:ascii="宋体" w:hAnsi="宋体" w:eastAsia="宋体" w:cs="宋体"/>
          <w:sz w:val="24"/>
          <w:highlight w:val="none"/>
        </w:rPr>
        <w:t xml:space="preserve">制定适合盐城市实际情况与地方特色的《盐城市地下管线数据库建库技术要求》</w:t>
      </w:r>
      <w:bookmarkEnd w:id="171"/>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2、制定盐城市地下管线数据更新维护技术要求</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基于《盐城市地下管线数据库建库技术要求》，</w:t>
      </w:r>
      <w:bookmarkStart w:id="172" w:name="OLE_LINK23"/>
      <w:r>
        <w:rPr>
          <w:rFonts w:hint="eastAsia" w:ascii="宋体" w:hAnsi="宋体" w:eastAsia="宋体" w:cs="宋体"/>
          <w:sz w:val="24"/>
          <w:highlight w:val="none"/>
        </w:rPr>
        <w:t xml:space="preserve">针对地下管线市县一体化数据的动态更新维护要求，编制《</w:t>
      </w:r>
      <w:bookmarkStart w:id="173" w:name="OLE_LINK93"/>
      <w:r>
        <w:rPr>
          <w:rFonts w:hint="eastAsia" w:ascii="宋体" w:hAnsi="宋体" w:eastAsia="宋体" w:cs="宋体"/>
          <w:sz w:val="24"/>
          <w:highlight w:val="none"/>
        </w:rPr>
        <w:t xml:space="preserve">盐城市地下管线数据更新维护技术要求</w:t>
      </w:r>
      <w:bookmarkEnd w:id="173"/>
      <w:r>
        <w:rPr>
          <w:rFonts w:hint="eastAsia" w:ascii="宋体" w:hAnsi="宋体" w:eastAsia="宋体" w:cs="宋体"/>
          <w:sz w:val="24"/>
          <w:highlight w:val="none"/>
        </w:rPr>
        <w:t xml:space="preserve">》，对地下管线数据更新流程、数据更新要求、更新方式、质量检查、更新工具等规定。</w:t>
      </w:r>
      <w:bookmarkEnd w:id="172"/>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3、制定盐城市区地下管线信息管理系统运行维护管理制度</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bookmarkStart w:id="174" w:name="OLE_LINK24"/>
      <w:r>
        <w:rPr>
          <w:rFonts w:hint="eastAsia" w:ascii="宋体" w:hAnsi="宋体" w:eastAsia="宋体" w:cs="宋体"/>
          <w:sz w:val="24"/>
          <w:highlight w:val="none"/>
        </w:rPr>
        <w:t xml:space="preserve">基于行政审批制度改革和供给侧改革要求，制定《盐城市区地下管线信息管理系统运行维护管理制度》，创新管理模式，构建“市县协同、数据融合、信息共享、协同更新”的盐城市地下管线信息化管理机制，彰显政府服务能力。</w:t>
      </w:r>
      <w:bookmarkEnd w:id="174"/>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1"/>
      </w:pPr>
      <w:r/>
      <w:bookmarkStart w:id="175" w:name="_Toc16195"/>
      <w:r>
        <w:rPr>
          <w:rFonts w:hint="eastAsia" w:ascii="宋体" w:hAnsi="宋体" w:eastAsia="宋体" w:cs="宋体"/>
          <w:sz w:val="24"/>
          <w:highlight w:val="none"/>
        </w:rPr>
        <w:t xml:space="preserve">（二）盐城市地下管线数据治理</w:t>
      </w:r>
      <w:bookmarkEnd w:id="175"/>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站在“智慧盐城”及盐城市地下市政基础设施管理、盐城市生命线工程建设发展的高度，基于盐城市地下管线规划、建设管理需求，从顶层设计上重新设计盐城市地下管线的数据库结构，并在此基础上对现有管线数据及新增管线数据进行统一数据处理，最终形成盐城市市县一体化地下管线数据底座。</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具体建设内容如下：</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bookmarkStart w:id="176" w:name="OLE_LINK12"/>
      <w:r>
        <w:rPr>
          <w:rFonts w:hint="eastAsia" w:ascii="宋体" w:hAnsi="宋体" w:eastAsia="宋体" w:cs="宋体"/>
          <w:sz w:val="24"/>
          <w:highlight w:val="none"/>
        </w:rPr>
        <w:t xml:space="preserve">1、基于市县一体化管理需要的地下管线数据库结构设计</w:t>
      </w:r>
      <w:bookmarkEnd w:id="176"/>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基于《盐城市地下管线数据库建库技术要求》重新设计地下管线数据库结构，满足盐城市市区（县）一体化统一地下管线数据管理。</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2、盐城市中心城区地下管线数据治理</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原系统</w:t>
      </w:r>
      <w:r>
        <w:rPr>
          <w:rFonts w:hint="eastAsia" w:ascii="宋体" w:hAnsi="宋体" w:eastAsia="宋体" w:cs="宋体"/>
          <w:sz w:val="24"/>
          <w:highlight w:val="none"/>
        </w:rPr>
        <w:t xml:space="preserve">包含给水、燃气、排水、通信等多个类别地下管线，</w:t>
      </w:r>
      <w:r>
        <w:rPr>
          <w:rFonts w:hint="eastAsia" w:ascii="宋体" w:hAnsi="宋体" w:eastAsia="宋体" w:cs="宋体"/>
          <w:sz w:val="24"/>
          <w:highlight w:val="none"/>
          <w:lang w:eastAsia="zh-CN"/>
        </w:rPr>
        <w:t xml:space="preserve">数量</w:t>
      </w:r>
      <w:r>
        <w:rPr>
          <w:rFonts w:hint="eastAsia" w:ascii="宋体" w:hAnsi="宋体" w:eastAsia="宋体" w:cs="宋体"/>
          <w:sz w:val="24"/>
          <w:highlight w:val="none"/>
        </w:rPr>
        <w:t xml:space="preserve">约</w:t>
      </w:r>
      <w:r>
        <w:rPr>
          <w:rFonts w:hint="eastAsia" w:ascii="宋体" w:hAnsi="宋体" w:eastAsia="宋体" w:cs="宋体"/>
          <w:sz w:val="24"/>
          <w:highlight w:val="none"/>
          <w:lang w:val="en-US" w:eastAsia="zh-CN"/>
        </w:rPr>
        <w:t xml:space="preserve">1.8万</w:t>
      </w:r>
      <w:r>
        <w:rPr>
          <w:rFonts w:hint="eastAsia" w:ascii="宋体" w:hAnsi="宋体" w:eastAsia="宋体" w:cs="宋体"/>
          <w:sz w:val="24"/>
          <w:highlight w:val="none"/>
        </w:rPr>
        <w:t xml:space="preserve">公里，经过分析发现现有管线数据存在</w:t>
      </w:r>
      <w:r>
        <w:rPr>
          <w:rFonts w:hint="eastAsia" w:ascii="宋体" w:hAnsi="宋体" w:eastAsia="宋体" w:cs="宋体"/>
          <w:sz w:val="24"/>
          <w:highlight w:val="none"/>
          <w:lang w:eastAsia="zh-CN"/>
        </w:rPr>
        <w:t xml:space="preserve">部分</w:t>
      </w:r>
      <w:r>
        <w:rPr>
          <w:rFonts w:hint="eastAsia" w:ascii="宋体" w:hAnsi="宋体" w:eastAsia="宋体" w:cs="宋体"/>
          <w:sz w:val="24"/>
          <w:highlight w:val="none"/>
        </w:rPr>
        <w:t xml:space="preserve">属性为空、管</w:t>
      </w:r>
      <w:r>
        <w:rPr>
          <w:rFonts w:hint="eastAsia" w:ascii="宋体" w:hAnsi="宋体" w:eastAsia="宋体" w:cs="宋体"/>
          <w:sz w:val="24"/>
          <w:highlight w:val="none"/>
          <w:lang w:eastAsia="zh-CN"/>
        </w:rPr>
        <w:t xml:space="preserve">线</w:t>
      </w:r>
      <w:r>
        <w:rPr>
          <w:rFonts w:hint="eastAsia" w:ascii="宋体" w:hAnsi="宋体" w:eastAsia="宋体" w:cs="宋体"/>
          <w:sz w:val="24"/>
          <w:highlight w:val="none"/>
        </w:rPr>
        <w:t xml:space="preserve">点编号规则不统一、地下管线高程逻辑性错误等诸多问题。地下管线数据的质量直接关系到地下管线信息管理系统的应用效果，有必要依托基础测绘数据中的管线数据、道路数据、高程数据、图幅数据对地下管线数据进行数据治理，解决属性为空、属性逻辑错误，提高数据质量。</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项目验收合格后（自终验合格之日起计算），提供3年的免费维护，3年内射阳、响水、阜宁、大丰完成数据移交工作并有数据治理需求，同样需要为其提供数据治理服务。</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bookmarkStart w:id="177" w:name="OLE_LINK13"/>
      <w:r>
        <w:rPr>
          <w:rFonts w:hint="eastAsia" w:ascii="宋体" w:hAnsi="宋体" w:eastAsia="宋体" w:cs="宋体"/>
          <w:sz w:val="24"/>
          <w:highlight w:val="none"/>
        </w:rPr>
        <w:t xml:space="preserve">3、盐城市大比例尺地形图</w:t>
      </w:r>
      <w:r>
        <w:rPr>
          <w:rFonts w:hint="eastAsia" w:ascii="宋体" w:hAnsi="宋体" w:eastAsia="宋体" w:cs="宋体"/>
          <w:sz w:val="24"/>
          <w:highlight w:val="none"/>
          <w:lang w:eastAsia="zh-CN"/>
        </w:rPr>
        <w:t xml:space="preserve">结合</w:t>
      </w:r>
      <w:r>
        <w:rPr>
          <w:rFonts w:hint="eastAsia" w:ascii="宋体" w:hAnsi="宋体" w:eastAsia="宋体" w:cs="宋体"/>
          <w:sz w:val="24"/>
          <w:highlight w:val="none"/>
        </w:rPr>
        <w:t xml:space="preserve">地下管线数据</w:t>
      </w:r>
      <w:r>
        <w:rPr>
          <w:rFonts w:hint="eastAsia" w:ascii="宋体" w:hAnsi="宋体" w:eastAsia="宋体" w:cs="宋体"/>
          <w:sz w:val="24"/>
          <w:highlight w:val="none"/>
          <w:lang w:eastAsia="zh-CN"/>
        </w:rPr>
        <w:t xml:space="preserve">一体化</w:t>
      </w:r>
      <w:r>
        <w:rPr>
          <w:rFonts w:hint="eastAsia" w:ascii="宋体" w:hAnsi="宋体" w:eastAsia="宋体" w:cs="宋体"/>
          <w:sz w:val="24"/>
          <w:highlight w:val="none"/>
        </w:rPr>
        <w:t xml:space="preserve">治理</w:t>
      </w:r>
      <w:bookmarkEnd w:id="177"/>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盐城市每年开展大比例尺地形图动态更新维护，根据《盐城市1:500、 1:1000、1:2000基础地理信息地形要素数据规范》对地面管线进行了测量，形成了管线点、管线线、管线面、管线注记四个图层的地下管线数据，需要项目中标单位基于全市基础测绘成果，对全市域高压变电站及供电线路、燃气、供热等长输管线进行数据治理，同时综合比对提取地上管线数据，提升我市管线数据的完整性、准确性，有效支撑地下管线综合规划编制、土地供应等自然资源管理工作。</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各县（市、区）</w:t>
      </w:r>
      <w:r>
        <w:rPr>
          <w:rFonts w:hint="eastAsia" w:ascii="宋体" w:hAnsi="宋体" w:eastAsia="宋体" w:cs="宋体"/>
          <w:sz w:val="24"/>
          <w:highlight w:val="none"/>
        </w:rPr>
        <w:t xml:space="preserve">地下管线数据治理</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本项目需要对东台市</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约1575公里）</w:t>
      </w:r>
      <w:r>
        <w:rPr>
          <w:rFonts w:hint="eastAsia" w:ascii="宋体" w:hAnsi="宋体" w:eastAsia="宋体" w:cs="宋体"/>
          <w:sz w:val="24"/>
          <w:highlight w:val="none"/>
        </w:rPr>
        <w:t xml:space="preserve">、建湖县</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约3388公里）</w:t>
      </w:r>
      <w:r>
        <w:rPr>
          <w:rFonts w:hint="eastAsia" w:ascii="宋体" w:hAnsi="宋体" w:eastAsia="宋体" w:cs="宋体"/>
          <w:sz w:val="24"/>
          <w:highlight w:val="none"/>
        </w:rPr>
        <w:t xml:space="preserve">、滨海县</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约2000公里）</w:t>
      </w:r>
      <w:r>
        <w:rPr>
          <w:rFonts w:hint="eastAsia" w:ascii="宋体" w:hAnsi="宋体" w:eastAsia="宋体" w:cs="宋体"/>
          <w:sz w:val="24"/>
          <w:highlight w:val="none"/>
        </w:rPr>
        <w:t xml:space="preserve">管线数据进行治理并更新入库，项目验收合格后（自终验合格之日起计算），3年内射阳县、响水县、阜宁县、大丰区完成数据移交工作并有数据治理需求的，同样需要为其提供数据治理和更新入库服务，费用均在本项目数据治理费用范围内。</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5、地下管线三维建模</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盐城市地下管线数据库建库技术规定》建立一套管点、管线三维模型库，并盐城市中心城区地下管线数据治理成果（17200公里）、建湖县地下管线治理成果（2288公里）、本次修补测地下管线数据（900公里）总计约20388公里管线进行三维建模，建设盐城市三维地下空间数据底座。</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6、地下管线数据脱敏</w:t>
      </w:r>
      <w:r>
        <w:rPr>
          <w:rFonts w:hint="eastAsia" w:ascii="宋体" w:hAnsi="宋体" w:eastAsia="宋体" w:cs="宋体"/>
          <w:sz w:val="24"/>
          <w:highlight w:val="none"/>
          <w:lang w:eastAsia="zh-CN"/>
        </w:rPr>
        <w:t xml:space="preserve">脱密</w:t>
      </w:r>
      <w:r>
        <w:rPr>
          <w:rFonts w:hint="eastAsia" w:ascii="宋体" w:hAnsi="宋体" w:eastAsia="宋体" w:cs="宋体"/>
          <w:sz w:val="24"/>
          <w:highlight w:val="none"/>
        </w:rPr>
        <w:t xml:space="preserve">处理</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根据江苏省生命线安全工程建设项目要求，</w:t>
      </w:r>
      <w:r>
        <w:rPr>
          <w:rFonts w:hint="eastAsia" w:ascii="宋体" w:hAnsi="宋体" w:eastAsia="宋体" w:cs="宋体"/>
          <w:sz w:val="24"/>
          <w:highlight w:val="none"/>
          <w:lang w:eastAsia="zh-CN"/>
        </w:rPr>
        <w:t xml:space="preserve">已（或拟）移交给自然资源部门的</w:t>
      </w:r>
      <w:r>
        <w:rPr>
          <w:rFonts w:hint="eastAsia" w:ascii="宋体" w:hAnsi="宋体" w:eastAsia="宋体" w:cs="宋体"/>
          <w:sz w:val="24"/>
          <w:highlight w:val="none"/>
        </w:rPr>
        <w:t xml:space="preserve">城市地下管线数据提交给生命线工程项目时必须进行脱敏</w:t>
      </w:r>
      <w:r>
        <w:rPr>
          <w:rFonts w:hint="eastAsia" w:ascii="宋体" w:hAnsi="宋体" w:eastAsia="宋体" w:cs="宋体"/>
          <w:sz w:val="24"/>
          <w:highlight w:val="none"/>
          <w:lang w:eastAsia="zh-CN"/>
        </w:rPr>
        <w:t xml:space="preserve">脱密</w:t>
      </w:r>
      <w:r>
        <w:rPr>
          <w:rFonts w:hint="eastAsia" w:ascii="宋体" w:hAnsi="宋体" w:eastAsia="宋体" w:cs="宋体"/>
          <w:sz w:val="24"/>
          <w:highlight w:val="none"/>
        </w:rPr>
        <w:t xml:space="preserve">处理。</w:t>
      </w:r>
      <w:r>
        <w:rPr>
          <w:rFonts w:hint="eastAsia" w:ascii="宋体" w:hAnsi="宋体" w:eastAsia="宋体" w:cs="宋体"/>
          <w:sz w:val="24"/>
          <w:highlight w:val="none"/>
          <w:lang w:eastAsia="zh-CN"/>
        </w:rPr>
        <w:t xml:space="preserve">中标单位根据甲方需求在征得甲方同意后，</w:t>
      </w:r>
      <w:r>
        <w:rPr>
          <w:rFonts w:hint="eastAsia" w:ascii="宋体" w:hAnsi="宋体" w:eastAsia="宋体" w:cs="宋体"/>
          <w:sz w:val="24"/>
          <w:highlight w:val="none"/>
          <w:lang w:val="en-US" w:eastAsia="zh-CN"/>
        </w:rPr>
        <w:t xml:space="preserve">配合</w:t>
      </w:r>
      <w:r>
        <w:rPr>
          <w:rFonts w:hint="eastAsia" w:ascii="宋体" w:hAnsi="宋体" w:eastAsia="宋体" w:cs="宋体"/>
          <w:sz w:val="24"/>
          <w:highlight w:val="none"/>
          <w:lang w:eastAsia="zh-CN"/>
        </w:rPr>
        <w:t xml:space="preserve">具备满足脱敏脱密资质的单位进行</w:t>
      </w:r>
      <w:r>
        <w:rPr>
          <w:rFonts w:hint="eastAsia" w:ascii="宋体" w:hAnsi="宋体" w:eastAsia="宋体" w:cs="宋体"/>
          <w:sz w:val="24"/>
          <w:highlight w:val="none"/>
        </w:rPr>
        <w:t xml:space="preserve">地下管线</w:t>
      </w:r>
      <w:r>
        <w:rPr>
          <w:rFonts w:hint="eastAsia" w:ascii="宋体" w:hAnsi="宋体" w:eastAsia="宋体" w:cs="宋体"/>
          <w:sz w:val="24"/>
          <w:highlight w:val="none"/>
          <w:lang w:eastAsia="zh-CN"/>
        </w:rPr>
        <w:t xml:space="preserve">脱敏脱密处理</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7、集成地上实景三维模型</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盐城市公安局于2021年完成了主城区450平方公里0.07米的实景三维数据建设，</w:t>
      </w:r>
      <w:r>
        <w:rPr>
          <w:rFonts w:hint="eastAsia" w:ascii="宋体" w:hAnsi="宋体" w:eastAsia="宋体" w:cs="宋体"/>
          <w:sz w:val="24"/>
          <w:highlight w:val="none"/>
          <w:lang w:eastAsia="zh-CN"/>
        </w:rPr>
        <w:t xml:space="preserve">每年实现局部更新；盐城市自然资源和规划局于</w:t>
      </w:r>
      <w:r>
        <w:rPr>
          <w:rFonts w:hint="eastAsia" w:ascii="宋体" w:hAnsi="宋体" w:eastAsia="宋体" w:cs="宋体"/>
          <w:sz w:val="24"/>
          <w:highlight w:val="none"/>
          <w:lang w:val="en-US" w:eastAsia="zh-CN"/>
        </w:rPr>
        <w:t xml:space="preserve">2023年启动，拟完成市区147平方公里</w:t>
      </w:r>
      <w:r>
        <w:rPr>
          <w:rFonts w:hint="eastAsia" w:ascii="宋体" w:hAnsi="宋体" w:eastAsia="宋体" w:cs="宋体"/>
          <w:sz w:val="24"/>
          <w:highlight w:val="none"/>
        </w:rPr>
        <w:t xml:space="preserve">0.0</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米的实景三维数据建设</w:t>
      </w:r>
      <w:r>
        <w:rPr>
          <w:rFonts w:hint="eastAsia" w:ascii="宋体" w:hAnsi="宋体" w:eastAsia="宋体" w:cs="宋体"/>
          <w:sz w:val="24"/>
          <w:highlight w:val="none"/>
          <w:lang w:val="en-US" w:eastAsia="zh-CN"/>
        </w:rPr>
        <w:t xml:space="preserve">。本项目</w:t>
      </w:r>
      <w:r>
        <w:rPr>
          <w:rFonts w:hint="eastAsia" w:ascii="宋体" w:hAnsi="宋体" w:eastAsia="宋体" w:cs="宋体"/>
          <w:sz w:val="24"/>
          <w:highlight w:val="none"/>
        </w:rPr>
        <w:t xml:space="preserve">需将实景三维数据、地下管线三维数据</w:t>
      </w:r>
      <w:r>
        <w:rPr>
          <w:rFonts w:hint="eastAsia" w:ascii="宋体" w:hAnsi="宋体" w:eastAsia="宋体" w:cs="宋体"/>
          <w:sz w:val="24"/>
          <w:highlight w:val="none"/>
          <w:lang w:eastAsia="zh-CN"/>
        </w:rPr>
        <w:t xml:space="preserve">在同一平台实现统一调用</w:t>
      </w:r>
      <w:r>
        <w:rPr>
          <w:rFonts w:hint="eastAsia" w:ascii="宋体" w:hAnsi="宋体" w:eastAsia="宋体" w:cs="宋体"/>
          <w:sz w:val="24"/>
          <w:highlight w:val="none"/>
        </w:rPr>
        <w:t xml:space="preserve">，实现地上地下一体化集中管理，为提高盐城市地下管线立体化审批提供数据支撑。</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bookmarkStart w:id="178" w:name="_Toc6931"/>
      <w:r/>
      <w:bookmarkStart w:id="179" w:name="OLE_LINK85"/>
      <w:r>
        <w:rPr>
          <w:rFonts w:hint="eastAsia" w:ascii="宋体" w:hAnsi="宋体" w:eastAsia="宋体" w:cs="宋体"/>
          <w:sz w:val="24"/>
          <w:highlight w:val="none"/>
        </w:rPr>
        <w:t xml:space="preserve">8、盐城市地下管线修补测</w:t>
      </w:r>
      <w:bookmarkEnd w:id="178"/>
      <w:r/>
      <w:bookmarkEnd w:id="179"/>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bookmarkStart w:id="180" w:name="OLE_LINK14"/>
      <w:r>
        <w:rPr>
          <w:rFonts w:hint="eastAsia" w:ascii="宋体" w:hAnsi="宋体" w:eastAsia="宋体" w:cs="宋体"/>
          <w:sz w:val="24"/>
          <w:highlight w:val="none"/>
        </w:rPr>
        <w:t xml:space="preserve">根据盐城市区地下管线数据的实际调研，市区范围内还有部分应测未测的雨水、污水、电力、燃气、自来水等市政管线</w:t>
      </w:r>
      <w:bookmarkEnd w:id="180"/>
      <w:r>
        <w:rPr>
          <w:rFonts w:hint="eastAsia" w:ascii="宋体" w:hAnsi="宋体" w:eastAsia="宋体" w:cs="宋体"/>
          <w:sz w:val="24"/>
          <w:highlight w:val="none"/>
        </w:rPr>
        <w:t xml:space="preserve">没有探测，本次项目需要</w:t>
      </w:r>
      <w:r>
        <w:rPr>
          <w:rFonts w:hint="eastAsia" w:ascii="宋体" w:hAnsi="宋体" w:eastAsia="宋体" w:cs="宋体"/>
          <w:sz w:val="24"/>
          <w:highlight w:val="none"/>
          <w:lang w:eastAsia="zh-CN"/>
        </w:rPr>
        <w:t xml:space="preserve">对市区范围内的拟挂牌地块、主次干道、</w:t>
      </w:r>
      <w:r>
        <w:rPr>
          <w:rFonts w:hint="eastAsia" w:ascii="宋体" w:hAnsi="宋体" w:eastAsia="宋体" w:cs="宋体"/>
          <w:sz w:val="24"/>
          <w:highlight w:val="none"/>
        </w:rPr>
        <w:t xml:space="preserve">绿化带内</w:t>
      </w:r>
      <w:r>
        <w:rPr>
          <w:rFonts w:hint="eastAsia" w:ascii="宋体" w:hAnsi="宋体" w:eastAsia="宋体" w:cs="宋体"/>
          <w:sz w:val="24"/>
          <w:highlight w:val="none"/>
          <w:lang w:eastAsia="zh-CN"/>
        </w:rPr>
        <w:t xml:space="preserve">、小区园区</w:t>
      </w:r>
      <w:r>
        <w:rPr>
          <w:rFonts w:hint="eastAsia" w:ascii="宋体" w:hAnsi="宋体" w:eastAsia="宋体" w:cs="宋体"/>
          <w:sz w:val="24"/>
          <w:highlight w:val="none"/>
        </w:rPr>
        <w:t xml:space="preserve">市政管线进行修补测探测并更新入库到新地下管线数据库中，计划修补测的地下管线公里数为</w:t>
      </w:r>
      <w:r>
        <w:rPr>
          <w:rFonts w:hint="eastAsia" w:ascii="宋体" w:hAnsi="宋体" w:eastAsia="宋体" w:cs="宋体"/>
          <w:sz w:val="24"/>
          <w:highlight w:val="none"/>
          <w:lang w:val="en-US" w:eastAsia="zh-CN"/>
        </w:rPr>
        <w:t xml:space="preserve">900</w:t>
      </w:r>
      <w:r>
        <w:rPr>
          <w:rFonts w:hint="eastAsia" w:ascii="宋体" w:hAnsi="宋体" w:eastAsia="宋体" w:cs="宋体"/>
          <w:sz w:val="24"/>
          <w:highlight w:val="none"/>
        </w:rPr>
        <w:t xml:space="preserve">公里。</w:t>
      </w:r>
      <w:r>
        <w:rPr>
          <w:rFonts w:hint="eastAsia" w:ascii="宋体" w:hAnsi="宋体" w:eastAsia="宋体" w:cs="宋体"/>
          <w:sz w:val="24"/>
          <w:highlight w:val="none"/>
        </w:rPr>
      </w:r>
      <w:r/>
    </w:p>
    <w:p>
      <w:pPr>
        <w:pStyle w:val="737"/>
        <w:ind w:firstLine="56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9、辅助管线规划审查</w:t>
      </w:r>
      <w:r>
        <w:rPr>
          <w:rFonts w:ascii="宋体" w:hAnsi="宋体" w:eastAsia="宋体" w:cs="宋体"/>
          <w:sz w:val="24"/>
          <w:highlight w:val="none"/>
          <w:lang w:val="en-US" w:eastAsia="zh-CN"/>
        </w:rPr>
      </w:r>
      <w:r/>
    </w:p>
    <w:p>
      <w:pPr>
        <w:pStyle w:val="737"/>
        <w:ind w:firstLine="56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将市政工程处管线综合规划成果导入数据库用于支撑管线方案审查。</w:t>
      </w:r>
      <w:r>
        <w:rPr>
          <w:rFonts w:ascii="宋体" w:hAnsi="宋体" w:eastAsia="宋体" w:cs="宋体"/>
          <w:sz w:val="24"/>
          <w:highlight w:val="none"/>
          <w:lang w:val="en-US" w:eastAsia="zh-CN"/>
        </w:rPr>
      </w:r>
      <w:r/>
    </w:p>
    <w:p>
      <w:pPr>
        <w:pStyle w:val="737"/>
        <w:ind w:firstLine="480"/>
        <w:spacing w:line="360" w:lineRule="auto"/>
        <w:rPr>
          <w:rFonts w:hint="eastAsia" w:ascii="宋体" w:hAnsi="宋体" w:eastAsia="宋体" w:cs="宋体"/>
          <w:sz w:val="24"/>
          <w:highlight w:val="none"/>
        </w:rPr>
        <w:outlineLvl w:val="1"/>
      </w:pPr>
      <w:r/>
      <w:bookmarkStart w:id="181" w:name="OLE_LINK86"/>
      <w:r/>
      <w:bookmarkStart w:id="182" w:name="_Toc23062"/>
      <w:r>
        <w:rPr>
          <w:rFonts w:hint="eastAsia" w:ascii="宋体" w:hAnsi="宋体" w:eastAsia="宋体" w:cs="宋体"/>
          <w:sz w:val="24"/>
          <w:highlight w:val="none"/>
        </w:rPr>
        <w:t xml:space="preserve">（三）盐城市地下管线信息管理系统建设</w:t>
      </w:r>
      <w:bookmarkEnd w:id="181"/>
      <w:r/>
      <w:bookmarkEnd w:id="182"/>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bookmarkStart w:id="183" w:name="_Toc190"/>
      <w:r>
        <w:rPr>
          <w:rFonts w:hint="eastAsia" w:ascii="宋体" w:hAnsi="宋体" w:eastAsia="宋体" w:cs="宋体"/>
          <w:sz w:val="24"/>
          <w:highlight w:val="none"/>
        </w:rPr>
        <w:t xml:space="preserve">1、原系统国产化适配开发</w:t>
      </w:r>
      <w:bookmarkEnd w:id="183"/>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本项目要求基于原有的管线系统进行国产软硬件系统替代及信息安全适配改造升级，其主要工作是依托于国产服务器、中间件、数据库、GIS引擎、终端及相关的软件为主要载体进行软件功能的升级开发。</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2、管线数据检查工具软件（单机版）</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为提高盐城市地下管线竣工数据质量，计划</w:t>
      </w:r>
      <w:bookmarkStart w:id="184" w:name="OLE_LINK15"/>
      <w:r>
        <w:rPr>
          <w:rFonts w:hint="eastAsia" w:ascii="宋体" w:hAnsi="宋体" w:eastAsia="宋体" w:cs="宋体"/>
          <w:sz w:val="24"/>
          <w:highlight w:val="none"/>
        </w:rPr>
        <w:t xml:space="preserve">推行前置数据检查模式，为地下管线权属单位、地下管线探测单位提供单机版、不依赖GIS基础平台和数据库的地下管线数据质检子系统。</w:t>
      </w:r>
      <w:bookmarkEnd w:id="184"/>
      <w:r>
        <w:rPr>
          <w:rFonts w:hint="eastAsia" w:ascii="宋体" w:hAnsi="宋体" w:eastAsia="宋体" w:cs="宋体"/>
          <w:sz w:val="24"/>
          <w:highlight w:val="none"/>
        </w:rPr>
        <w:t xml:space="preserve">该工具软件为单机版软件。功能主要有：</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授权管理：生成机器码、生成许可文件；</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任务管理：多任务创建、任务式管理、查看任务详情；</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检查方案管理：检查方案列表、导入检查方案、查看检查方案、删除质检方案；</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完整性检查：根据盐城地下管线数据标准规范检查排水、供水、电力等各类管线图层是否完整；</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规范性检查：检查图层命名、字段命名、属性内容是否符合盐城地下管线数据标准规范；</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致性检查：属性数据结构一致性、管线点图层点号唯一性、管线线图层线段唯一性、管线面图层面唯一性、管线埋深一致性检查、管线权属单位及埋设方式一致性检查、井边点两侧属性一致性检查、管径形式与埋设方式一致性检查、管线点与关联偏心井属性一致性检查、井盖形状与井盖尺寸一致性检查、井室类型与井室规格一致性检查、道路名称及权属单位属性一致性检查、井底深与井底高程一致性检查；</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有效性检查：管线点号有效性、管线面编号有效性、要素代码有效性、管线点特征点及附属物有效性、材质有效性、管线点表字段检查、偏心井检查、管线点与关联偏心井距离检查、管径数值检查、井内连线长度超限、管线埋深超限检查、井底深超限检查、管线线起点及终点完整性检查、特征点弯头或转折点逻辑错误检查、排水逆流检查、排水管线大管流向小管错误检查。</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bookmarkStart w:id="185" w:name="_Toc20573"/>
      <w:r>
        <w:rPr>
          <w:rFonts w:hint="eastAsia" w:ascii="宋体" w:hAnsi="宋体" w:eastAsia="宋体" w:cs="宋体"/>
          <w:sz w:val="24"/>
          <w:highlight w:val="none"/>
        </w:rPr>
        <w:t xml:space="preserve">3、管线数据质检子系统</w:t>
      </w:r>
      <w:bookmarkEnd w:id="185"/>
      <w:r>
        <w:rPr>
          <w:rFonts w:hint="eastAsia" w:ascii="宋体" w:hAnsi="宋体" w:eastAsia="宋体" w:cs="宋体"/>
          <w:sz w:val="24"/>
          <w:highlight w:val="none"/>
        </w:rPr>
        <w:t xml:space="preserve">（B/S版）</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该子系统为网络版部署，其主要用户为盐城市各区/县（市）自然资源和规划局、盐城市基础地理信息管理中心；需要进行全面的国产化软硬件系统适配开发。功能主要有：</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任务管理：多任务创建、任务式管理、查看任务详情、图文一体化定位；</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检查方案管理：检查方案列表、导入检查方案、查看检查方案、删除质检方案、自定义配置质检方案；</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完整性检查：根据盐城地下管线数据标准规范检查排水、供水、电力等各类管线图层是否完整；</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规范性检查：检查图层命名、字段命名、属性内容是否符合盐城地下管线数据标准规范；</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致性检查：属性数据结构一致性、管线点图层点号唯一性、管线线图层线段唯一性、管线面图层面唯一性、管线埋深一致性检查、管线权属单位及埋设方式一致性检查、井边点两侧属性一致性检查、管径形式与埋设方式一致性检查、管线点与关联偏心井属性一致性检查、井盖形状与井盖尺寸一致性检查、井室类型与井室规格一致性检查、道路名称及权属单位属性一致性检查、井底深与井底高程一致性检查；</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有效性检查：管线点号有效性、管线面编号有效性、要素代码有效性、管线点特征点及附属物有效性、材质有效性、管线点表字段检查、偏心井检查、管线点与关联偏心井距离检查、管径数值检查、井内连线长度超限、管线埋深超限检查、井底深超限检查、管线线起点及终点完整性检查、特征点弯头或转折点逻辑错误检查、排水逆流检查、排水管线大管流向小管错误检查；</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整合检查：管线点的高程合理性检查、管线点平面位置合理性检查、管线点和线道路名称检查、管线现势性及完整性检查。</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bookmarkStart w:id="186" w:name="_Toc13633"/>
      <w:r>
        <w:rPr>
          <w:rFonts w:hint="eastAsia" w:ascii="宋体" w:hAnsi="宋体" w:eastAsia="宋体" w:cs="宋体"/>
          <w:sz w:val="24"/>
          <w:highlight w:val="none"/>
        </w:rPr>
        <w:t xml:space="preserve">4、管线数据管理子系统</w:t>
      </w:r>
      <w:bookmarkEnd w:id="186"/>
      <w:r>
        <w:rPr>
          <w:rFonts w:hint="eastAsia" w:ascii="宋体" w:hAnsi="宋体" w:eastAsia="宋体" w:cs="宋体"/>
          <w:sz w:val="24"/>
          <w:highlight w:val="none"/>
        </w:rPr>
        <w:t xml:space="preserve">（B/S版）</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实现对普查库、竣工库、生产库和成果库集中管理。功能主要有：</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地图基本操作：图层管理、放大缩小、全图、地图量测、属性查看；</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数据管理：普查入库、普查更新、竣工更新、管网接边、数据更新统计、数据同步管理、数据备份、数据恢复；</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数据编辑：开始编辑、保存编辑、结束编辑、撤销、重做、属性查看、属性编辑、新建点、新建线、删除要素、批量删除、节点捕捉、捕捉设置；</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管线三维建模：支持三维管线增量更新；</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查询统计：综合查询、自定义查询、更新统计、全库统计；</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数据输出：导出标准数据、导出空间数据、数据加密、数据嵌入水印；</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日志管理：支持查看系统登录、操作日志。</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bookmarkStart w:id="187" w:name="_Toc887"/>
      <w:r>
        <w:rPr>
          <w:rFonts w:hint="eastAsia" w:ascii="宋体" w:hAnsi="宋体" w:eastAsia="宋体" w:cs="宋体"/>
          <w:sz w:val="24"/>
          <w:highlight w:val="none"/>
        </w:rPr>
        <w:t xml:space="preserve">5、管线二三维应用子系统</w:t>
      </w:r>
      <w:bookmarkEnd w:id="187"/>
      <w:r>
        <w:rPr>
          <w:rFonts w:hint="eastAsia" w:ascii="宋体" w:hAnsi="宋体" w:eastAsia="宋体" w:cs="宋体"/>
          <w:sz w:val="24"/>
          <w:highlight w:val="none"/>
        </w:rPr>
        <w:t xml:space="preserve">（B/S版）</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以应用为导向，以实现系统可用性、数据维护便捷性为目标，建设一套界面一体化、功能一体化、二三维一体化的管线二三维应用子系统，实现对地下管线的浏览、查询、统计和多样化分析等功能。功能主要有</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数据浏览（图层管理、放大缩小、分屏、属性查看、地图量测、自定义查询）；</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二三维一体化（二维地图、三维地图、二三维地图联动、地上地下一体化）；</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管网查询（空间查询、按管径查询、按权属单位查询、按道路查询、按埋设方式查询）；</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管网统计（按类型统计、按管径统计、按权属单位统计、按道路统计、按埋设方式统计、按行政区域统计）；</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管网分析（净距分析、横断面分析、纵断面分析、碰撞分析、开挖分析、管线埋深分析）。</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bookmarkStart w:id="188" w:name="OLE_LINK99"/>
      <w:r/>
      <w:bookmarkStart w:id="189" w:name="_Toc167462951"/>
      <w:r/>
      <w:bookmarkStart w:id="190" w:name="_Toc12128"/>
      <w:r>
        <w:rPr>
          <w:rFonts w:hint="eastAsia" w:ascii="宋体" w:hAnsi="宋体" w:eastAsia="宋体" w:cs="宋体"/>
          <w:sz w:val="24"/>
          <w:highlight w:val="none"/>
        </w:rPr>
        <w:t xml:space="preserve">6、地下管线规划方案辅助审查子系统</w:t>
      </w:r>
      <w:bookmarkEnd w:id="188"/>
      <w:r/>
      <w:bookmarkEnd w:id="189"/>
      <w:r/>
      <w:bookmarkEnd w:id="190"/>
      <w:r>
        <w:rPr>
          <w:rFonts w:hint="eastAsia" w:ascii="宋体" w:hAnsi="宋体" w:eastAsia="宋体" w:cs="宋体"/>
          <w:sz w:val="24"/>
          <w:highlight w:val="none"/>
        </w:rPr>
        <w:t xml:space="preserve">（B/S版）</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本子系统主要用于市资规局市政工程处进行地下管线规划方案的辅助审查，功能主要有合理性分析、合规性分析和一致性分析。</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合理性分析：支持对规划管线方案内的管线进行合理性分析；支持规划管线方案与现状管线进行合理性分析；</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合规性分析：辅助分析规划管线的铺设是否符合规划管理要求；</w:t>
      </w:r>
      <w:r>
        <w:rPr>
          <w:rFonts w:hint="eastAsia" w:ascii="宋体" w:hAnsi="宋体" w:eastAsia="宋体" w:cs="宋体"/>
          <w:sz w:val="24"/>
          <w:highlight w:val="none"/>
        </w:rPr>
      </w:r>
      <w:r/>
    </w:p>
    <w:p>
      <w:pPr>
        <w:pStyle w:val="826"/>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一致性分析：支持对竣工管线数据与规划管线方案一致性分析。</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7、运行维护管理子系统（B/S版）</w:t>
      </w:r>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功能主要有用户管理中心、组织机构管理、数据编目管理、数据服务管理、系统管理、功能管理、管线数据标准管理、管线数据检查规则管理、权限管理、基础设施监测、日志管理。</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1"/>
      </w:pPr>
      <w:r/>
      <w:bookmarkStart w:id="191" w:name="OLE_LINK87"/>
      <w:r/>
      <w:bookmarkStart w:id="192" w:name="_Toc13410"/>
      <w:r>
        <w:rPr>
          <w:rFonts w:hint="eastAsia" w:ascii="宋体" w:hAnsi="宋体" w:eastAsia="宋体" w:cs="宋体"/>
          <w:sz w:val="24"/>
          <w:highlight w:val="none"/>
        </w:rPr>
        <w:t xml:space="preserve">（四）基础软硬件采购</w:t>
      </w:r>
      <w:bookmarkEnd w:id="191"/>
      <w:r/>
      <w:bookmarkEnd w:id="192"/>
      <w:r>
        <w:rPr>
          <w:rFonts w:hint="eastAsia" w:ascii="宋体" w:hAnsi="宋体" w:eastAsia="宋体" w:cs="宋体"/>
          <w:sz w:val="24"/>
          <w:highlight w:val="none"/>
        </w:rPr>
      </w:r>
      <w:r/>
    </w:p>
    <w:p>
      <w:pPr>
        <w:pStyle w:val="737"/>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根据本项目要求，地下管线系统必须部署在一个与互联网完全物理隔离的运行环境中，需采购如下软硬件：</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1、硬件采购</w:t>
      </w:r>
      <w:r>
        <w:rPr>
          <w:rFonts w:hint="eastAsia" w:ascii="宋体" w:hAnsi="宋体" w:eastAsia="宋体" w:cs="宋体"/>
          <w:sz w:val="24"/>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687"/>
        <w:gridCol w:w="1083"/>
        <w:gridCol w:w="5022"/>
      </w:tblGrid>
      <w:tr>
        <w:trPr>
          <w:trHeight w:val="670"/>
          <w:tblHeader/>
        </w:trPr>
        <w:tc>
          <w:tcPr>
            <w:shd w:val="clear" w:color="000000" w:fill="ffffff"/>
            <w:tcW w:w="963" w:type="dxa"/>
            <w:vAlign w:val="center"/>
            <w:textDirection w:val="lrTb"/>
            <w:noWrap w:val="false"/>
          </w:tcPr>
          <w:p>
            <w:pPr>
              <w:pStyle w:val="737"/>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建设内容</w:t>
            </w:r>
            <w:r>
              <w:rPr>
                <w:rFonts w:hint="eastAsia" w:ascii="宋体" w:hAnsi="宋体" w:eastAsia="宋体" w:cs="宋体"/>
                <w:b/>
                <w:bCs/>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数量</w:t>
            </w:r>
            <w:r>
              <w:rPr>
                <w:rFonts w:hint="eastAsia" w:ascii="宋体" w:hAnsi="宋体" w:eastAsia="宋体" w:cs="宋体"/>
                <w:b/>
                <w:bCs/>
                <w:sz w:val="24"/>
                <w:highlight w:val="none"/>
              </w:rPr>
            </w:r>
            <w:r/>
          </w:p>
        </w:tc>
        <w:tc>
          <w:tcPr>
            <w:shd w:val="clear" w:color="000000" w:fill="ffffff"/>
            <w:tcW w:w="5022" w:type="dxa"/>
            <w:vAlign w:val="center"/>
            <w:textDirection w:val="lrTb"/>
            <w:noWrap w:val="false"/>
          </w:tcPr>
          <w:p>
            <w:pPr>
              <w:pStyle w:val="737"/>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配置</w:t>
            </w:r>
            <w:r>
              <w:rPr>
                <w:rFonts w:hint="eastAsia" w:ascii="宋体" w:hAnsi="宋体" w:eastAsia="宋体" w:cs="宋体"/>
                <w:b/>
                <w:bCs/>
                <w:sz w:val="24"/>
                <w:highlight w:val="none"/>
              </w:rPr>
            </w:r>
            <w:r/>
          </w:p>
        </w:tc>
      </w:tr>
      <w:tr>
        <w:trPr>
          <w:trHeight w:val="280"/>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应用服务器</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5022" w:type="dxa"/>
            <w:vAlign w:val="center"/>
            <w:textDirection w:val="lrTb"/>
            <w:noWrap w:val="false"/>
          </w:tcPr>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w:t>
            </w:r>
            <w:r>
              <w:rPr>
                <w:rFonts w:ascii="宋体" w:hAnsi="宋体" w:eastAsia="宋体" w:cs="宋体"/>
                <w:sz w:val="24"/>
                <w:highlight w:val="none"/>
              </w:rPr>
              <w:t xml:space="preserve">CPU:</w:t>
            </w:r>
            <w:r>
              <w:rPr>
                <w:rFonts w:hint="eastAsia" w:ascii="宋体" w:hAnsi="宋体" w:eastAsia="宋体" w:cs="宋体"/>
                <w:sz w:val="24"/>
                <w:highlight w:val="none"/>
              </w:rPr>
              <w:t xml:space="preserve">配置≥</w:t>
            </w:r>
            <w:r>
              <w:rPr>
                <w:rFonts w:ascii="宋体" w:hAnsi="宋体" w:eastAsia="宋体" w:cs="宋体"/>
                <w:sz w:val="24"/>
                <w:highlight w:val="none"/>
              </w:rPr>
              <w:t xml:space="preserve">1</w:t>
            </w:r>
            <w:r>
              <w:rPr>
                <w:rFonts w:hint="eastAsia" w:ascii="宋体" w:hAnsi="宋体" w:eastAsia="宋体" w:cs="宋体"/>
                <w:sz w:val="24"/>
                <w:highlight w:val="none"/>
              </w:rPr>
              <w:t xml:space="preserve">颗国产</w:t>
            </w:r>
            <w:r>
              <w:rPr>
                <w:rFonts w:hint="eastAsia" w:ascii="宋体" w:hAnsi="宋体" w:eastAsia="宋体" w:cs="宋体"/>
                <w:sz w:val="24"/>
                <w:highlight w:val="none"/>
                <w:lang w:val="en-US" w:eastAsia="zh-CN"/>
              </w:rPr>
              <w:t xml:space="preserve">芯片</w:t>
            </w:r>
            <w:r>
              <w:rPr>
                <w:rFonts w:ascii="宋体" w:hAnsi="宋体" w:eastAsia="宋体" w:cs="宋体"/>
                <w:sz w:val="24"/>
                <w:highlight w:val="none"/>
              </w:rPr>
              <w:t xml:space="preserve"> CPU</w:t>
            </w:r>
            <w:r>
              <w:rPr>
                <w:rFonts w:hint="eastAsia" w:ascii="宋体" w:hAnsi="宋体" w:eastAsia="宋体" w:cs="宋体"/>
                <w:sz w:val="24"/>
                <w:highlight w:val="none"/>
              </w:rPr>
              <w:t xml:space="preserve">，单颗核心数≥</w:t>
            </w:r>
            <w:r>
              <w:rPr>
                <w:rFonts w:ascii="宋体" w:hAnsi="宋体" w:eastAsia="宋体" w:cs="宋体"/>
                <w:sz w:val="24"/>
                <w:highlight w:val="none"/>
              </w:rPr>
              <w:t xml:space="preserve">16</w:t>
            </w:r>
            <w:r>
              <w:rPr>
                <w:rFonts w:hint="eastAsia" w:ascii="宋体" w:hAnsi="宋体" w:eastAsia="宋体" w:cs="宋体"/>
                <w:sz w:val="24"/>
                <w:highlight w:val="none"/>
              </w:rPr>
              <w:t xml:space="preserve">，基础主频≥</w:t>
            </w:r>
            <w:r>
              <w:rPr>
                <w:rFonts w:ascii="宋体" w:hAnsi="宋体" w:eastAsia="宋体" w:cs="宋体"/>
                <w:sz w:val="24"/>
                <w:highlight w:val="none"/>
              </w:rPr>
              <w:t xml:space="preserve">2.5</w:t>
            </w:r>
            <w:r>
              <w:rPr>
                <w:rFonts w:hint="eastAsia" w:ascii="宋体" w:hAnsi="宋体" w:eastAsia="宋体" w:cs="宋体"/>
                <w:sz w:val="24"/>
                <w:highlight w:val="none"/>
              </w:rPr>
              <w:t xml:space="preserve">，三级缓存≥</w:t>
            </w:r>
            <w:r>
              <w:rPr>
                <w:rFonts w:ascii="宋体" w:hAnsi="宋体" w:eastAsia="宋体" w:cs="宋体"/>
                <w:sz w:val="24"/>
                <w:highlight w:val="none"/>
              </w:rPr>
              <w:t xml:space="preserve">32M</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2.国产处理器：国产</w:t>
            </w:r>
            <w:r>
              <w:rPr>
                <w:rFonts w:ascii="宋体" w:hAnsi="宋体" w:eastAsia="宋体" w:cs="宋体"/>
                <w:sz w:val="24"/>
                <w:highlight w:val="none"/>
              </w:rPr>
              <w:t xml:space="preserve">x86</w:t>
            </w:r>
            <w:r>
              <w:rPr>
                <w:rFonts w:hint="eastAsia" w:ascii="宋体" w:hAnsi="宋体" w:eastAsia="宋体" w:cs="宋体"/>
                <w:sz w:val="24"/>
                <w:highlight w:val="none"/>
              </w:rPr>
              <w:t xml:space="preserve">处理器，采用国密算法等内容</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3.内存</w:t>
            </w:r>
            <w:r>
              <w:rPr>
                <w:rFonts w:ascii="宋体" w:hAnsi="宋体" w:eastAsia="宋体" w:cs="宋体"/>
                <w:sz w:val="24"/>
                <w:highlight w:val="none"/>
              </w:rPr>
              <w:t xml:space="preserve">:</w:t>
            </w:r>
            <w:r>
              <w:rPr>
                <w:rFonts w:hint="eastAsia" w:ascii="宋体" w:hAnsi="宋体" w:eastAsia="宋体" w:cs="宋体"/>
                <w:sz w:val="24"/>
                <w:highlight w:val="none"/>
              </w:rPr>
              <w:t xml:space="preserve">配置≥</w:t>
            </w:r>
            <w:r>
              <w:rPr>
                <w:rFonts w:ascii="宋体" w:hAnsi="宋体" w:eastAsia="宋体" w:cs="宋体"/>
                <w:sz w:val="24"/>
                <w:highlight w:val="none"/>
              </w:rPr>
              <w:t xml:space="preserve">64GB</w:t>
            </w:r>
            <w:r>
              <w:rPr>
                <w:rFonts w:hint="eastAsia" w:ascii="宋体" w:hAnsi="宋体" w:eastAsia="宋体" w:cs="宋体"/>
                <w:sz w:val="24"/>
                <w:highlight w:val="none"/>
              </w:rPr>
              <w:t xml:space="preserve">内存，支持≥</w:t>
            </w:r>
            <w:r>
              <w:rPr>
                <w:rFonts w:ascii="宋体" w:hAnsi="宋体" w:eastAsia="宋体" w:cs="宋体"/>
                <w:sz w:val="24"/>
                <w:highlight w:val="none"/>
              </w:rPr>
              <w:t xml:space="preserve">16</w:t>
            </w:r>
            <w:r>
              <w:rPr>
                <w:rFonts w:hint="eastAsia" w:ascii="宋体" w:hAnsi="宋体" w:eastAsia="宋体" w:cs="宋体"/>
                <w:sz w:val="24"/>
                <w:highlight w:val="none"/>
              </w:rPr>
              <w:t xml:space="preserve">个内存插槽，最大可支持</w:t>
            </w:r>
            <w:r>
              <w:rPr>
                <w:rFonts w:ascii="宋体" w:hAnsi="宋体" w:eastAsia="宋体" w:cs="宋体"/>
                <w:sz w:val="24"/>
                <w:highlight w:val="none"/>
              </w:rPr>
              <w:t xml:space="preserve">2TB</w:t>
            </w:r>
            <w:r>
              <w:rPr>
                <w:rFonts w:hint="eastAsia" w:ascii="宋体" w:hAnsi="宋体" w:eastAsia="宋体" w:cs="宋体"/>
                <w:sz w:val="24"/>
                <w:highlight w:val="none"/>
              </w:rPr>
              <w:t xml:space="preserve">内存容量，支持</w:t>
            </w:r>
            <w:r>
              <w:rPr>
                <w:rFonts w:ascii="宋体" w:hAnsi="宋体" w:eastAsia="宋体" w:cs="宋体"/>
                <w:sz w:val="24"/>
                <w:highlight w:val="none"/>
              </w:rPr>
              <w:t xml:space="preserve">ECC</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4.硬盘：配置≥</w:t>
            </w:r>
            <w:r>
              <w:rPr>
                <w:rFonts w:ascii="宋体" w:hAnsi="宋体" w:eastAsia="宋体" w:cs="宋体"/>
                <w:sz w:val="24"/>
                <w:highlight w:val="none"/>
              </w:rPr>
              <w:t xml:space="preserve">1</w:t>
            </w:r>
            <w:r>
              <w:rPr>
                <w:rFonts w:hint="eastAsia" w:ascii="宋体" w:hAnsi="宋体" w:eastAsia="宋体" w:cs="宋体"/>
                <w:sz w:val="24"/>
                <w:highlight w:val="none"/>
              </w:rPr>
              <w:t xml:space="preserve">块</w:t>
            </w:r>
            <w:r>
              <w:rPr>
                <w:rFonts w:ascii="宋体" w:hAnsi="宋体" w:eastAsia="宋体" w:cs="宋体"/>
                <w:sz w:val="24"/>
                <w:highlight w:val="none"/>
              </w:rPr>
              <w:t xml:space="preserve">480G 2.5 6Gb R SSD</w:t>
            </w:r>
            <w:r>
              <w:rPr>
                <w:rFonts w:hint="eastAsia" w:ascii="宋体" w:hAnsi="宋体" w:eastAsia="宋体" w:cs="宋体"/>
                <w:sz w:val="24"/>
                <w:highlight w:val="none"/>
              </w:rPr>
              <w:t xml:space="preserve">硬盘，≥</w:t>
            </w:r>
            <w:r>
              <w:rPr>
                <w:rFonts w:ascii="宋体" w:hAnsi="宋体" w:eastAsia="宋体" w:cs="宋体"/>
                <w:sz w:val="24"/>
                <w:highlight w:val="none"/>
              </w:rPr>
              <w:t xml:space="preserve">2</w:t>
            </w:r>
            <w:r>
              <w:rPr>
                <w:rFonts w:hint="eastAsia" w:ascii="宋体" w:hAnsi="宋体" w:eastAsia="宋体" w:cs="宋体"/>
                <w:sz w:val="24"/>
                <w:highlight w:val="none"/>
              </w:rPr>
              <w:t xml:space="preserve">块</w:t>
            </w:r>
            <w:r>
              <w:rPr>
                <w:rFonts w:ascii="宋体" w:hAnsi="宋体" w:eastAsia="宋体" w:cs="宋体"/>
                <w:sz w:val="24"/>
                <w:highlight w:val="none"/>
              </w:rPr>
              <w:t xml:space="preserve">960G 2.5 6Gb R SSD</w:t>
            </w:r>
            <w:r>
              <w:rPr>
                <w:rFonts w:hint="eastAsia" w:ascii="宋体" w:hAnsi="宋体" w:eastAsia="宋体" w:cs="宋体"/>
                <w:sz w:val="24"/>
                <w:highlight w:val="none"/>
              </w:rPr>
              <w:t xml:space="preserve">硬盘，支持≥</w:t>
            </w:r>
            <w:r>
              <w:rPr>
                <w:rFonts w:ascii="宋体" w:hAnsi="宋体" w:eastAsia="宋体" w:cs="宋体"/>
                <w:sz w:val="24"/>
                <w:highlight w:val="none"/>
              </w:rPr>
              <w:t xml:space="preserve">12</w:t>
            </w:r>
            <w:r>
              <w:rPr>
                <w:rFonts w:hint="eastAsia" w:ascii="宋体" w:hAnsi="宋体" w:eastAsia="宋体" w:cs="宋体"/>
                <w:sz w:val="24"/>
                <w:highlight w:val="none"/>
              </w:rPr>
              <w:t xml:space="preserve">个前置热插拔</w:t>
            </w:r>
            <w:r>
              <w:rPr>
                <w:rFonts w:ascii="宋体" w:hAnsi="宋体" w:eastAsia="宋体" w:cs="宋体"/>
                <w:sz w:val="24"/>
                <w:highlight w:val="none"/>
              </w:rPr>
              <w:t xml:space="preserve">3.5</w:t>
            </w:r>
            <w:r>
              <w:rPr>
                <w:rFonts w:hint="eastAsia" w:ascii="宋体" w:hAnsi="宋体" w:eastAsia="宋体" w:cs="宋体"/>
                <w:sz w:val="24"/>
                <w:highlight w:val="none"/>
              </w:rPr>
              <w:t xml:space="preserve">硬盘，可支持</w:t>
            </w:r>
            <w:r>
              <w:rPr>
                <w:rFonts w:ascii="宋体" w:hAnsi="宋体" w:eastAsia="宋体" w:cs="宋体"/>
                <w:sz w:val="24"/>
                <w:highlight w:val="none"/>
              </w:rPr>
              <w:t xml:space="preserve">2*</w:t>
            </w:r>
            <w:r>
              <w:rPr>
                <w:rFonts w:hint="eastAsia" w:ascii="宋体" w:hAnsi="宋体" w:eastAsia="宋体" w:cs="宋体"/>
                <w:sz w:val="24"/>
                <w:highlight w:val="none"/>
              </w:rPr>
              <w:t xml:space="preserve">后置</w:t>
            </w:r>
            <w:r>
              <w:rPr>
                <w:rFonts w:ascii="宋体" w:hAnsi="宋体" w:eastAsia="宋体" w:cs="宋体"/>
                <w:sz w:val="24"/>
                <w:highlight w:val="none"/>
              </w:rPr>
              <w:t xml:space="preserve">SAS/SATA/SSD</w:t>
            </w:r>
            <w:r>
              <w:rPr>
                <w:rFonts w:hint="eastAsia" w:ascii="宋体" w:hAnsi="宋体" w:eastAsia="宋体" w:cs="宋体"/>
                <w:sz w:val="24"/>
                <w:highlight w:val="none"/>
              </w:rPr>
              <w:t xml:space="preserve">硬盘，板载可支持</w:t>
            </w:r>
            <w:r>
              <w:rPr>
                <w:rFonts w:ascii="宋体" w:hAnsi="宋体" w:eastAsia="宋体" w:cs="宋体"/>
                <w:sz w:val="24"/>
                <w:highlight w:val="none"/>
              </w:rPr>
              <w:t xml:space="preserve">1</w:t>
            </w:r>
            <w:r>
              <w:rPr>
                <w:rFonts w:hint="eastAsia" w:ascii="宋体" w:hAnsi="宋体" w:eastAsia="宋体" w:cs="宋体"/>
                <w:sz w:val="24"/>
                <w:highlight w:val="none"/>
              </w:rPr>
              <w:t xml:space="preserve">个内置</w:t>
            </w:r>
            <w:r>
              <w:rPr>
                <w:rFonts w:ascii="宋体" w:hAnsi="宋体" w:eastAsia="宋体" w:cs="宋体"/>
                <w:sz w:val="24"/>
                <w:highlight w:val="none"/>
              </w:rPr>
              <w:t xml:space="preserve">M.2 SSD</w:t>
            </w:r>
            <w:r>
              <w:rPr>
                <w:rFonts w:hint="eastAsia" w:ascii="宋体" w:hAnsi="宋体" w:eastAsia="宋体" w:cs="宋体"/>
                <w:sz w:val="24"/>
                <w:highlight w:val="none"/>
              </w:rPr>
              <w:t xml:space="preserve">，兼容</w:t>
            </w:r>
            <w:r>
              <w:rPr>
                <w:rFonts w:ascii="宋体" w:hAnsi="宋体" w:eastAsia="宋体" w:cs="宋体"/>
                <w:sz w:val="24"/>
                <w:highlight w:val="none"/>
              </w:rPr>
              <w:t xml:space="preserve">PCIe</w:t>
            </w:r>
            <w:r>
              <w:rPr>
                <w:rFonts w:hint="eastAsia" w:ascii="宋体" w:hAnsi="宋体" w:eastAsia="宋体" w:cs="宋体"/>
                <w:sz w:val="24"/>
                <w:highlight w:val="none"/>
              </w:rPr>
              <w:t xml:space="preserve">和</w:t>
            </w:r>
            <w:r>
              <w:rPr>
                <w:rFonts w:ascii="宋体" w:hAnsi="宋体" w:eastAsia="宋体" w:cs="宋体"/>
                <w:sz w:val="24"/>
                <w:highlight w:val="none"/>
              </w:rPr>
              <w:t xml:space="preserve">SATA</w:t>
            </w:r>
            <w:r>
              <w:rPr>
                <w:rFonts w:hint="eastAsia" w:ascii="宋体" w:hAnsi="宋体" w:eastAsia="宋体" w:cs="宋体"/>
                <w:sz w:val="24"/>
                <w:highlight w:val="none"/>
              </w:rPr>
              <w:t xml:space="preserve">接口</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5.网卡：配置≥</w:t>
            </w:r>
            <w:r>
              <w:rPr>
                <w:rFonts w:ascii="宋体" w:hAnsi="宋体" w:eastAsia="宋体" w:cs="宋体"/>
                <w:sz w:val="24"/>
                <w:highlight w:val="none"/>
              </w:rPr>
              <w:t xml:space="preserve">2</w:t>
            </w:r>
            <w:r>
              <w:rPr>
                <w:rFonts w:hint="eastAsia" w:ascii="宋体" w:hAnsi="宋体" w:eastAsia="宋体" w:cs="宋体"/>
                <w:sz w:val="24"/>
                <w:highlight w:val="none"/>
              </w:rPr>
              <w:t xml:space="preserve">个千兆网口，支持</w:t>
            </w:r>
            <w:r>
              <w:rPr>
                <w:rFonts w:ascii="宋体" w:hAnsi="宋体" w:eastAsia="宋体" w:cs="宋体"/>
                <w:sz w:val="24"/>
                <w:highlight w:val="none"/>
              </w:rPr>
              <w:t xml:space="preserve">PCIe</w:t>
            </w:r>
            <w:r>
              <w:rPr>
                <w:rFonts w:hint="eastAsia" w:ascii="宋体" w:hAnsi="宋体" w:eastAsia="宋体" w:cs="宋体"/>
                <w:sz w:val="24"/>
                <w:highlight w:val="none"/>
              </w:rPr>
              <w:t xml:space="preserve">标准网卡，支持</w:t>
            </w:r>
            <w:r>
              <w:rPr>
                <w:rFonts w:ascii="宋体" w:hAnsi="宋体" w:eastAsia="宋体" w:cs="宋体"/>
                <w:sz w:val="24"/>
                <w:highlight w:val="none"/>
              </w:rPr>
              <w:t xml:space="preserve">1G/10G/25G/40G/100G/200G</w:t>
            </w:r>
            <w:r>
              <w:rPr>
                <w:rFonts w:hint="eastAsia" w:ascii="宋体" w:hAnsi="宋体" w:eastAsia="宋体" w:cs="宋体"/>
                <w:sz w:val="24"/>
                <w:highlight w:val="none"/>
              </w:rPr>
              <w:t xml:space="preserve">双口、四口等多种规格，支持</w:t>
            </w:r>
            <w:r>
              <w:rPr>
                <w:rFonts w:ascii="宋体" w:hAnsi="宋体" w:eastAsia="宋体" w:cs="宋体"/>
                <w:sz w:val="24"/>
                <w:highlight w:val="none"/>
              </w:rPr>
              <w:t xml:space="preserve">OCP 3.0</w:t>
            </w:r>
            <w:r>
              <w:rPr>
                <w:rFonts w:hint="eastAsia" w:ascii="宋体" w:hAnsi="宋体" w:eastAsia="宋体" w:cs="宋体"/>
                <w:sz w:val="24"/>
                <w:highlight w:val="none"/>
              </w:rPr>
              <w:t xml:space="preserve">网卡，支持</w:t>
            </w:r>
            <w:r>
              <w:rPr>
                <w:rFonts w:ascii="宋体" w:hAnsi="宋体" w:eastAsia="宋体" w:cs="宋体"/>
                <w:sz w:val="24"/>
                <w:highlight w:val="none"/>
              </w:rPr>
              <w:t xml:space="preserve">NCSI</w:t>
            </w:r>
            <w:r>
              <w:rPr>
                <w:rFonts w:hint="eastAsia" w:ascii="宋体" w:hAnsi="宋体" w:eastAsia="宋体" w:cs="宋体"/>
                <w:sz w:val="24"/>
                <w:highlight w:val="none"/>
              </w:rPr>
              <w:t xml:space="preserve">、网络唤醒，网络冗余，负载均衡等网络高级特性</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6.电源：配置</w:t>
            </w:r>
            <w:r>
              <w:rPr>
                <w:rFonts w:ascii="宋体" w:hAnsi="宋体" w:eastAsia="宋体" w:cs="宋体"/>
                <w:sz w:val="24"/>
                <w:highlight w:val="none"/>
              </w:rPr>
              <w:t xml:space="preserve">1+1</w:t>
            </w:r>
            <w:r>
              <w:rPr>
                <w:rFonts w:hint="eastAsia" w:ascii="宋体" w:hAnsi="宋体" w:eastAsia="宋体" w:cs="宋体"/>
                <w:sz w:val="24"/>
                <w:highlight w:val="none"/>
              </w:rPr>
              <w:t xml:space="preserve">冗余电源，单块≥</w:t>
            </w:r>
            <w:r>
              <w:rPr>
                <w:rFonts w:ascii="宋体" w:hAnsi="宋体" w:eastAsia="宋体" w:cs="宋体"/>
                <w:sz w:val="24"/>
                <w:highlight w:val="none"/>
              </w:rPr>
              <w:t xml:space="preserve">800W</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7.故障诊断：支持离线光诊断功能，可断电环境下诊断主板关键信息故障；支持自动或手动模式故障截屏、支持故障录像功能、开机自检代码、支持</w:t>
            </w:r>
            <w:r>
              <w:rPr>
                <w:rFonts w:ascii="宋体" w:hAnsi="宋体" w:eastAsia="宋体" w:cs="宋体"/>
                <w:sz w:val="24"/>
                <w:highlight w:val="none"/>
              </w:rPr>
              <w:t xml:space="preserve">sel</w:t>
            </w:r>
            <w:r>
              <w:rPr>
                <w:rFonts w:hint="eastAsia" w:ascii="宋体" w:hAnsi="宋体" w:eastAsia="宋体" w:cs="宋体"/>
                <w:sz w:val="24"/>
                <w:highlight w:val="none"/>
              </w:rPr>
              <w:t xml:space="preserve">故障日志处理建议提示、支持一键下载黑匣子日志，有效判断分析软硬件故障</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8.安全等保要求：为符合等保可信计算要求，所投机型需通过可信计算</w:t>
            </w:r>
            <w:r>
              <w:rPr>
                <w:rFonts w:ascii="宋体" w:hAnsi="宋体" w:eastAsia="宋体" w:cs="宋体"/>
                <w:sz w:val="24"/>
                <w:highlight w:val="none"/>
              </w:rPr>
              <w:t xml:space="preserve">3.0</w:t>
            </w:r>
            <w:r>
              <w:rPr>
                <w:rFonts w:hint="eastAsia" w:ascii="宋体" w:hAnsi="宋体" w:eastAsia="宋体" w:cs="宋体"/>
                <w:sz w:val="24"/>
                <w:highlight w:val="none"/>
              </w:rPr>
              <w:t xml:space="preserve">认证。</w:t>
            </w:r>
            <w:r>
              <w:rPr>
                <w:rFonts w:ascii="宋体" w:hAnsi="宋体" w:eastAsia="宋体" w:cs="宋体"/>
                <w:sz w:val="24"/>
                <w:highlight w:val="none"/>
              </w:rPr>
            </w:r>
            <w:r/>
          </w:p>
        </w:tc>
      </w:tr>
      <w:tr>
        <w:trPr>
          <w:trHeight w:val="1590"/>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数据库服务器</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5022" w:type="dxa"/>
            <w:vAlign w:val="center"/>
            <w:textDirection w:val="lrTb"/>
            <w:noWrap w:val="false"/>
          </w:tcPr>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w:t>
            </w:r>
            <w:r>
              <w:rPr>
                <w:rFonts w:ascii="宋体" w:hAnsi="宋体" w:eastAsia="宋体" w:cs="宋体"/>
                <w:sz w:val="24"/>
                <w:highlight w:val="none"/>
              </w:rPr>
              <w:t xml:space="preserve">CPU:</w:t>
            </w:r>
            <w:r>
              <w:rPr>
                <w:rFonts w:hint="eastAsia" w:ascii="宋体" w:hAnsi="宋体" w:eastAsia="宋体" w:cs="宋体"/>
                <w:sz w:val="24"/>
                <w:highlight w:val="none"/>
              </w:rPr>
              <w:t xml:space="preserve">配置≥</w:t>
            </w:r>
            <w:r>
              <w:rPr>
                <w:rFonts w:ascii="宋体" w:hAnsi="宋体" w:eastAsia="宋体" w:cs="宋体"/>
                <w:sz w:val="24"/>
                <w:highlight w:val="none"/>
              </w:rPr>
              <w:t xml:space="preserve">2</w:t>
            </w:r>
            <w:r>
              <w:rPr>
                <w:rFonts w:hint="eastAsia" w:ascii="宋体" w:hAnsi="宋体" w:eastAsia="宋体" w:cs="宋体"/>
                <w:sz w:val="24"/>
                <w:highlight w:val="none"/>
              </w:rPr>
              <w:t xml:space="preserve">颗国产</w:t>
            </w:r>
            <w:r>
              <w:rPr>
                <w:rFonts w:hint="eastAsia" w:ascii="宋体" w:hAnsi="宋体" w:eastAsia="宋体" w:cs="宋体"/>
                <w:sz w:val="24"/>
                <w:highlight w:val="none"/>
                <w:lang w:val="en-US" w:eastAsia="zh-CN"/>
              </w:rPr>
              <w:t xml:space="preserve">芯片</w:t>
            </w:r>
            <w:r>
              <w:rPr>
                <w:rFonts w:ascii="宋体" w:hAnsi="宋体" w:eastAsia="宋体" w:cs="宋体"/>
                <w:sz w:val="24"/>
                <w:highlight w:val="none"/>
              </w:rPr>
              <w:t xml:space="preserve">CPU</w:t>
            </w:r>
            <w:r>
              <w:rPr>
                <w:rFonts w:hint="eastAsia" w:ascii="宋体" w:hAnsi="宋体" w:eastAsia="宋体" w:cs="宋体"/>
                <w:sz w:val="24"/>
                <w:highlight w:val="none"/>
              </w:rPr>
              <w:t xml:space="preserve">，单颗核心数≥</w:t>
            </w:r>
            <w:r>
              <w:rPr>
                <w:rFonts w:ascii="宋体" w:hAnsi="宋体" w:eastAsia="宋体" w:cs="宋体"/>
                <w:sz w:val="24"/>
                <w:highlight w:val="none"/>
              </w:rPr>
              <w:t xml:space="preserve">16</w:t>
            </w:r>
            <w:r>
              <w:rPr>
                <w:rFonts w:hint="eastAsia" w:ascii="宋体" w:hAnsi="宋体" w:eastAsia="宋体" w:cs="宋体"/>
                <w:sz w:val="24"/>
                <w:highlight w:val="none"/>
              </w:rPr>
              <w:t xml:space="preserve">，基础主频≥</w:t>
            </w:r>
            <w:r>
              <w:rPr>
                <w:rFonts w:ascii="宋体" w:hAnsi="宋体" w:eastAsia="宋体" w:cs="宋体"/>
                <w:sz w:val="24"/>
                <w:highlight w:val="none"/>
              </w:rPr>
              <w:t xml:space="preserve">2.5</w:t>
            </w:r>
            <w:r>
              <w:rPr>
                <w:rFonts w:hint="eastAsia" w:ascii="宋体" w:hAnsi="宋体" w:eastAsia="宋体" w:cs="宋体"/>
                <w:sz w:val="24"/>
                <w:highlight w:val="none"/>
              </w:rPr>
              <w:t xml:space="preserve">，三级缓存≥</w:t>
            </w:r>
            <w:r>
              <w:rPr>
                <w:rFonts w:ascii="宋体" w:hAnsi="宋体" w:eastAsia="宋体" w:cs="宋体"/>
                <w:sz w:val="24"/>
                <w:highlight w:val="none"/>
              </w:rPr>
              <w:t xml:space="preserve">32M</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2.国产处理器：采用国密算法等内容</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3.内存</w:t>
            </w:r>
            <w:r>
              <w:rPr>
                <w:rFonts w:ascii="宋体" w:hAnsi="宋体" w:eastAsia="宋体" w:cs="宋体"/>
                <w:sz w:val="24"/>
                <w:highlight w:val="none"/>
              </w:rPr>
              <w:t xml:space="preserve">:</w:t>
            </w:r>
            <w:r>
              <w:rPr>
                <w:rFonts w:hint="eastAsia" w:ascii="宋体" w:hAnsi="宋体" w:eastAsia="宋体" w:cs="宋体"/>
                <w:sz w:val="24"/>
                <w:highlight w:val="none"/>
              </w:rPr>
              <w:t xml:space="preserve">配置≥</w:t>
            </w:r>
            <w:r>
              <w:rPr>
                <w:rFonts w:ascii="宋体" w:hAnsi="宋体" w:eastAsia="宋体" w:cs="宋体"/>
                <w:sz w:val="24"/>
                <w:highlight w:val="none"/>
              </w:rPr>
              <w:t xml:space="preserve">128GB</w:t>
            </w:r>
            <w:r>
              <w:rPr>
                <w:rFonts w:hint="eastAsia" w:ascii="宋体" w:hAnsi="宋体" w:eastAsia="宋体" w:cs="宋体"/>
                <w:sz w:val="24"/>
                <w:highlight w:val="none"/>
              </w:rPr>
              <w:t xml:space="preserve">内存，支持≥</w:t>
            </w:r>
            <w:r>
              <w:rPr>
                <w:rFonts w:ascii="宋体" w:hAnsi="宋体" w:eastAsia="宋体" w:cs="宋体"/>
                <w:sz w:val="24"/>
                <w:highlight w:val="none"/>
              </w:rPr>
              <w:t xml:space="preserve">16</w:t>
            </w:r>
            <w:r>
              <w:rPr>
                <w:rFonts w:hint="eastAsia" w:ascii="宋体" w:hAnsi="宋体" w:eastAsia="宋体" w:cs="宋体"/>
                <w:sz w:val="24"/>
                <w:highlight w:val="none"/>
              </w:rPr>
              <w:t xml:space="preserve">个内存插槽，最大可支持</w:t>
            </w:r>
            <w:r>
              <w:rPr>
                <w:rFonts w:ascii="宋体" w:hAnsi="宋体" w:eastAsia="宋体" w:cs="宋体"/>
                <w:sz w:val="24"/>
                <w:highlight w:val="none"/>
              </w:rPr>
              <w:t xml:space="preserve">2TB</w:t>
            </w:r>
            <w:r>
              <w:rPr>
                <w:rFonts w:hint="eastAsia" w:ascii="宋体" w:hAnsi="宋体" w:eastAsia="宋体" w:cs="宋体"/>
                <w:sz w:val="24"/>
                <w:highlight w:val="none"/>
              </w:rPr>
              <w:t xml:space="preserve">内存容量，支持</w:t>
            </w:r>
            <w:r>
              <w:rPr>
                <w:rFonts w:ascii="宋体" w:hAnsi="宋体" w:eastAsia="宋体" w:cs="宋体"/>
                <w:sz w:val="24"/>
                <w:highlight w:val="none"/>
              </w:rPr>
              <w:t xml:space="preserve">ECC</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4.硬盘：配置≥</w:t>
            </w:r>
            <w:r>
              <w:rPr>
                <w:rFonts w:ascii="宋体" w:hAnsi="宋体" w:eastAsia="宋体" w:cs="宋体"/>
                <w:sz w:val="24"/>
                <w:highlight w:val="none"/>
              </w:rPr>
              <w:t xml:space="preserve">1</w:t>
            </w:r>
            <w:r>
              <w:rPr>
                <w:rFonts w:hint="eastAsia" w:ascii="宋体" w:hAnsi="宋体" w:eastAsia="宋体" w:cs="宋体"/>
                <w:sz w:val="24"/>
                <w:highlight w:val="none"/>
              </w:rPr>
              <w:t xml:space="preserve">块</w:t>
            </w:r>
            <w:r>
              <w:rPr>
                <w:rFonts w:ascii="宋体" w:hAnsi="宋体" w:eastAsia="宋体" w:cs="宋体"/>
                <w:sz w:val="24"/>
                <w:highlight w:val="none"/>
              </w:rPr>
              <w:t xml:space="preserve">480G 2.5 6Gb R SSD</w:t>
            </w:r>
            <w:r>
              <w:rPr>
                <w:rFonts w:hint="eastAsia" w:ascii="宋体" w:hAnsi="宋体" w:eastAsia="宋体" w:cs="宋体"/>
                <w:sz w:val="24"/>
                <w:highlight w:val="none"/>
              </w:rPr>
              <w:t xml:space="preserve">硬盘，≥</w:t>
            </w:r>
            <w:r>
              <w:rPr>
                <w:rFonts w:ascii="宋体" w:hAnsi="宋体" w:eastAsia="宋体" w:cs="宋体"/>
                <w:sz w:val="24"/>
                <w:highlight w:val="none"/>
              </w:rPr>
              <w:t xml:space="preserve">2</w:t>
            </w:r>
            <w:r>
              <w:rPr>
                <w:rFonts w:hint="eastAsia" w:ascii="宋体" w:hAnsi="宋体" w:eastAsia="宋体" w:cs="宋体"/>
                <w:sz w:val="24"/>
                <w:highlight w:val="none"/>
              </w:rPr>
              <w:t xml:space="preserve">块</w:t>
            </w:r>
            <w:r>
              <w:rPr>
                <w:rFonts w:ascii="宋体" w:hAnsi="宋体" w:eastAsia="宋体" w:cs="宋体"/>
                <w:sz w:val="24"/>
                <w:highlight w:val="none"/>
              </w:rPr>
              <w:t xml:space="preserve">960G 2.5 6Gb R SSD</w:t>
            </w:r>
            <w:r>
              <w:rPr>
                <w:rFonts w:hint="eastAsia" w:ascii="宋体" w:hAnsi="宋体" w:eastAsia="宋体" w:cs="宋体"/>
                <w:sz w:val="24"/>
                <w:highlight w:val="none"/>
              </w:rPr>
              <w:t xml:space="preserve">硬盘，支持≥</w:t>
            </w:r>
            <w:r>
              <w:rPr>
                <w:rFonts w:ascii="宋体" w:hAnsi="宋体" w:eastAsia="宋体" w:cs="宋体"/>
                <w:sz w:val="24"/>
                <w:highlight w:val="none"/>
              </w:rPr>
              <w:t xml:space="preserve">12</w:t>
            </w:r>
            <w:r>
              <w:rPr>
                <w:rFonts w:hint="eastAsia" w:ascii="宋体" w:hAnsi="宋体" w:eastAsia="宋体" w:cs="宋体"/>
                <w:sz w:val="24"/>
                <w:highlight w:val="none"/>
              </w:rPr>
              <w:t xml:space="preserve">个前置热插拔</w:t>
            </w:r>
            <w:r>
              <w:rPr>
                <w:rFonts w:ascii="宋体" w:hAnsi="宋体" w:eastAsia="宋体" w:cs="宋体"/>
                <w:sz w:val="24"/>
                <w:highlight w:val="none"/>
              </w:rPr>
              <w:t xml:space="preserve">3.5</w:t>
            </w:r>
            <w:r>
              <w:rPr>
                <w:rFonts w:hint="eastAsia" w:ascii="宋体" w:hAnsi="宋体" w:eastAsia="宋体" w:cs="宋体"/>
                <w:sz w:val="24"/>
                <w:highlight w:val="none"/>
              </w:rPr>
              <w:t xml:space="preserve">硬盘，可支持</w:t>
            </w:r>
            <w:r>
              <w:rPr>
                <w:rFonts w:ascii="宋体" w:hAnsi="宋体" w:eastAsia="宋体" w:cs="宋体"/>
                <w:sz w:val="24"/>
                <w:highlight w:val="none"/>
              </w:rPr>
              <w:t xml:space="preserve">2*</w:t>
            </w:r>
            <w:r>
              <w:rPr>
                <w:rFonts w:hint="eastAsia" w:ascii="宋体" w:hAnsi="宋体" w:eastAsia="宋体" w:cs="宋体"/>
                <w:sz w:val="24"/>
                <w:highlight w:val="none"/>
              </w:rPr>
              <w:t xml:space="preserve">后置</w:t>
            </w:r>
            <w:r>
              <w:rPr>
                <w:rFonts w:ascii="宋体" w:hAnsi="宋体" w:eastAsia="宋体" w:cs="宋体"/>
                <w:sz w:val="24"/>
                <w:highlight w:val="none"/>
              </w:rPr>
              <w:t xml:space="preserve">SAS/SATA/SSD</w:t>
            </w:r>
            <w:r>
              <w:rPr>
                <w:rFonts w:hint="eastAsia" w:ascii="宋体" w:hAnsi="宋体" w:eastAsia="宋体" w:cs="宋体"/>
                <w:sz w:val="24"/>
                <w:highlight w:val="none"/>
              </w:rPr>
              <w:t xml:space="preserve">硬盘，板载可支持</w:t>
            </w:r>
            <w:r>
              <w:rPr>
                <w:rFonts w:ascii="宋体" w:hAnsi="宋体" w:eastAsia="宋体" w:cs="宋体"/>
                <w:sz w:val="24"/>
                <w:highlight w:val="none"/>
              </w:rPr>
              <w:t xml:space="preserve">1</w:t>
            </w:r>
            <w:r>
              <w:rPr>
                <w:rFonts w:hint="eastAsia" w:ascii="宋体" w:hAnsi="宋体" w:eastAsia="宋体" w:cs="宋体"/>
                <w:sz w:val="24"/>
                <w:highlight w:val="none"/>
              </w:rPr>
              <w:t xml:space="preserve">个内置</w:t>
            </w:r>
            <w:r>
              <w:rPr>
                <w:rFonts w:ascii="宋体" w:hAnsi="宋体" w:eastAsia="宋体" w:cs="宋体"/>
                <w:sz w:val="24"/>
                <w:highlight w:val="none"/>
              </w:rPr>
              <w:t xml:space="preserve">M.2 SSD</w:t>
            </w:r>
            <w:r>
              <w:rPr>
                <w:rFonts w:hint="eastAsia" w:ascii="宋体" w:hAnsi="宋体" w:eastAsia="宋体" w:cs="宋体"/>
                <w:sz w:val="24"/>
                <w:highlight w:val="none"/>
              </w:rPr>
              <w:t xml:space="preserve">，兼容</w:t>
            </w:r>
            <w:r>
              <w:rPr>
                <w:rFonts w:ascii="宋体" w:hAnsi="宋体" w:eastAsia="宋体" w:cs="宋体"/>
                <w:sz w:val="24"/>
                <w:highlight w:val="none"/>
              </w:rPr>
              <w:t xml:space="preserve">PCIe</w:t>
            </w:r>
            <w:r>
              <w:rPr>
                <w:rFonts w:hint="eastAsia" w:ascii="宋体" w:hAnsi="宋体" w:eastAsia="宋体" w:cs="宋体"/>
                <w:sz w:val="24"/>
                <w:highlight w:val="none"/>
              </w:rPr>
              <w:t xml:space="preserve">和</w:t>
            </w:r>
            <w:r>
              <w:rPr>
                <w:rFonts w:ascii="宋体" w:hAnsi="宋体" w:eastAsia="宋体" w:cs="宋体"/>
                <w:sz w:val="24"/>
                <w:highlight w:val="none"/>
              </w:rPr>
              <w:t xml:space="preserve">SATA</w:t>
            </w:r>
            <w:r>
              <w:rPr>
                <w:rFonts w:hint="eastAsia" w:ascii="宋体" w:hAnsi="宋体" w:eastAsia="宋体" w:cs="宋体"/>
                <w:sz w:val="24"/>
                <w:highlight w:val="none"/>
              </w:rPr>
              <w:t xml:space="preserve">接口</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5.网卡：配置≥</w:t>
            </w:r>
            <w:r>
              <w:rPr>
                <w:rFonts w:ascii="宋体" w:hAnsi="宋体" w:eastAsia="宋体" w:cs="宋体"/>
                <w:sz w:val="24"/>
                <w:highlight w:val="none"/>
              </w:rPr>
              <w:t xml:space="preserve">2</w:t>
            </w:r>
            <w:r>
              <w:rPr>
                <w:rFonts w:hint="eastAsia" w:ascii="宋体" w:hAnsi="宋体" w:eastAsia="宋体" w:cs="宋体"/>
                <w:sz w:val="24"/>
                <w:highlight w:val="none"/>
              </w:rPr>
              <w:t xml:space="preserve">个千兆网口，支持</w:t>
            </w:r>
            <w:r>
              <w:rPr>
                <w:rFonts w:ascii="宋体" w:hAnsi="宋体" w:eastAsia="宋体" w:cs="宋体"/>
                <w:sz w:val="24"/>
                <w:highlight w:val="none"/>
              </w:rPr>
              <w:t xml:space="preserve">PCIe</w:t>
            </w:r>
            <w:r>
              <w:rPr>
                <w:rFonts w:hint="eastAsia" w:ascii="宋体" w:hAnsi="宋体" w:eastAsia="宋体" w:cs="宋体"/>
                <w:sz w:val="24"/>
                <w:highlight w:val="none"/>
              </w:rPr>
              <w:t xml:space="preserve">标准网卡，支持</w:t>
            </w:r>
            <w:r>
              <w:rPr>
                <w:rFonts w:ascii="宋体" w:hAnsi="宋体" w:eastAsia="宋体" w:cs="宋体"/>
                <w:sz w:val="24"/>
                <w:highlight w:val="none"/>
              </w:rPr>
              <w:t xml:space="preserve">1G/10G/25G/40G/100G/200G</w:t>
            </w:r>
            <w:r>
              <w:rPr>
                <w:rFonts w:hint="eastAsia" w:ascii="宋体" w:hAnsi="宋体" w:eastAsia="宋体" w:cs="宋体"/>
                <w:sz w:val="24"/>
                <w:highlight w:val="none"/>
              </w:rPr>
              <w:t xml:space="preserve">双口、四口等多种规格，支持</w:t>
            </w:r>
            <w:r>
              <w:rPr>
                <w:rFonts w:ascii="宋体" w:hAnsi="宋体" w:eastAsia="宋体" w:cs="宋体"/>
                <w:sz w:val="24"/>
                <w:highlight w:val="none"/>
              </w:rPr>
              <w:t xml:space="preserve">OCP 3.0</w:t>
            </w:r>
            <w:r>
              <w:rPr>
                <w:rFonts w:hint="eastAsia" w:ascii="宋体" w:hAnsi="宋体" w:eastAsia="宋体" w:cs="宋体"/>
                <w:sz w:val="24"/>
                <w:highlight w:val="none"/>
              </w:rPr>
              <w:t xml:space="preserve">网卡，支持</w:t>
            </w:r>
            <w:r>
              <w:rPr>
                <w:rFonts w:ascii="宋体" w:hAnsi="宋体" w:eastAsia="宋体" w:cs="宋体"/>
                <w:sz w:val="24"/>
                <w:highlight w:val="none"/>
              </w:rPr>
              <w:t xml:space="preserve">NCSI</w:t>
            </w:r>
            <w:r>
              <w:rPr>
                <w:rFonts w:hint="eastAsia" w:ascii="宋体" w:hAnsi="宋体" w:eastAsia="宋体" w:cs="宋体"/>
                <w:sz w:val="24"/>
                <w:highlight w:val="none"/>
              </w:rPr>
              <w:t xml:space="preserve">、网络唤醒，网络冗余，负载均衡等网络高级特性</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6.电源：配置</w:t>
            </w:r>
            <w:r>
              <w:rPr>
                <w:rFonts w:ascii="宋体" w:hAnsi="宋体" w:eastAsia="宋体" w:cs="宋体"/>
                <w:sz w:val="24"/>
                <w:highlight w:val="none"/>
              </w:rPr>
              <w:t xml:space="preserve">1+1</w:t>
            </w:r>
            <w:r>
              <w:rPr>
                <w:rFonts w:hint="eastAsia" w:ascii="宋体" w:hAnsi="宋体" w:eastAsia="宋体" w:cs="宋体"/>
                <w:sz w:val="24"/>
                <w:highlight w:val="none"/>
              </w:rPr>
              <w:t xml:space="preserve">冗余电源，单块≥</w:t>
            </w:r>
            <w:r>
              <w:rPr>
                <w:rFonts w:ascii="宋体" w:hAnsi="宋体" w:eastAsia="宋体" w:cs="宋体"/>
                <w:sz w:val="24"/>
                <w:highlight w:val="none"/>
              </w:rPr>
              <w:t xml:space="preserve">800W</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7.故障诊断：支持离线光诊断功能，可断电环境下诊断主板关键信息故障；支持自动或手动模式故障截屏、支持故障录像功能、开机自检代码、支持</w:t>
            </w:r>
            <w:r>
              <w:rPr>
                <w:rFonts w:ascii="宋体" w:hAnsi="宋体" w:eastAsia="宋体" w:cs="宋体"/>
                <w:sz w:val="24"/>
                <w:highlight w:val="none"/>
              </w:rPr>
              <w:t xml:space="preserve">sel</w:t>
            </w:r>
            <w:r>
              <w:rPr>
                <w:rFonts w:hint="eastAsia" w:ascii="宋体" w:hAnsi="宋体" w:eastAsia="宋体" w:cs="宋体"/>
                <w:sz w:val="24"/>
                <w:highlight w:val="none"/>
              </w:rPr>
              <w:t xml:space="preserve">故障日志处理建议提示、支持一键下载黑匣子日志，有效判断分析软硬件故障</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8.数据安全保障：为保证数据安全，投标方需提供国家信息中心针对本项目提供的</w:t>
            </w:r>
            <w:r>
              <w:rPr>
                <w:rFonts w:ascii="宋体" w:hAnsi="宋体" w:eastAsia="宋体" w:cs="宋体"/>
                <w:sz w:val="24"/>
                <w:highlight w:val="none"/>
              </w:rPr>
              <w:t xml:space="preserve">3</w:t>
            </w:r>
            <w:r>
              <w:rPr>
                <w:rFonts w:hint="eastAsia" w:ascii="宋体" w:hAnsi="宋体" w:eastAsia="宋体" w:cs="宋体"/>
                <w:sz w:val="24"/>
                <w:highlight w:val="none"/>
              </w:rPr>
              <w:t xml:space="preserve">年数据恢复服务，以保障数据恢复的安全性。</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9.安全等保要求：为符合等保可信计算要求，所投机型需通过可信计算</w:t>
            </w:r>
            <w:r>
              <w:rPr>
                <w:rFonts w:ascii="宋体" w:hAnsi="宋体" w:eastAsia="宋体" w:cs="宋体"/>
                <w:sz w:val="24"/>
                <w:highlight w:val="none"/>
              </w:rPr>
              <w:t xml:space="preserve">3.0</w:t>
            </w:r>
            <w:r>
              <w:rPr>
                <w:rFonts w:hint="eastAsia" w:ascii="宋体" w:hAnsi="宋体" w:eastAsia="宋体" w:cs="宋体"/>
                <w:sz w:val="24"/>
                <w:highlight w:val="none"/>
              </w:rPr>
              <w:t xml:space="preserve">认证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tc>
      </w:tr>
      <w:tr>
        <w:trPr>
          <w:trHeight w:val="840"/>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信息系统终端计算机</w:t>
            </w:r>
            <w:r>
              <w:rPr>
                <w:rFonts w:hint="eastAsia" w:ascii="宋体" w:hAnsi="宋体" w:eastAsia="宋体" w:cs="宋体"/>
                <w:sz w:val="24"/>
                <w:highlight w:val="none"/>
              </w:rPr>
            </w:r>
            <w:r/>
          </w:p>
        </w:tc>
        <w:tc>
          <w:tcPr>
            <w:tcW w:w="1083" w:type="dxa"/>
            <w:vAlign w:val="center"/>
            <w:textDirection w:val="lrTb"/>
            <w:noWrap w:val="false"/>
          </w:tcPr>
          <w:p>
            <w:pPr>
              <w:pStyle w:val="737"/>
              <w:jc w:val="center"/>
              <w:widowControl/>
              <w:rPr>
                <w:rFonts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ascii="宋体" w:hAnsi="宋体" w:eastAsia="宋体" w:cs="宋体"/>
                <w:sz w:val="24"/>
                <w:highlight w:val="none"/>
                <w:lang w:val="en-US" w:eastAsia="zh-CN"/>
              </w:rPr>
            </w:r>
            <w:r/>
          </w:p>
        </w:tc>
        <w:tc>
          <w:tcPr>
            <w:tcW w:w="5022" w:type="dxa"/>
            <w:vAlign w:val="center"/>
            <w:textDirection w:val="lrTb"/>
            <w:noWrap w:val="false"/>
          </w:tcPr>
          <w:p>
            <w:pPr>
              <w:pStyle w:val="737"/>
              <w:widowControl/>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国产自主研发品牌，专业图形处理工作站</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处理器采用板载设计，配置</w:t>
            </w:r>
            <w:r>
              <w:rPr>
                <w:rFonts w:ascii="宋体" w:hAnsi="宋体" w:eastAsia="宋体" w:cs="宋体"/>
                <w:sz w:val="24"/>
                <w:highlight w:val="none"/>
              </w:rPr>
              <w:t xml:space="preserve">2</w:t>
            </w:r>
            <w:r>
              <w:rPr>
                <w:rFonts w:hint="eastAsia" w:ascii="宋体" w:hAnsi="宋体" w:eastAsia="宋体" w:cs="宋体"/>
                <w:sz w:val="24"/>
                <w:highlight w:val="none"/>
              </w:rPr>
              <w:t xml:space="preserve">颗国产</w:t>
            </w:r>
            <w:r>
              <w:rPr>
                <w:rFonts w:ascii="宋体" w:hAnsi="宋体" w:eastAsia="宋体" w:cs="宋体"/>
                <w:sz w:val="24"/>
                <w:highlight w:val="none"/>
              </w:rPr>
              <w:t xml:space="preserve">X86</w:t>
            </w:r>
            <w:r>
              <w:rPr>
                <w:rFonts w:hint="eastAsia" w:ascii="宋体" w:hAnsi="宋体" w:eastAsia="宋体" w:cs="宋体"/>
                <w:sz w:val="24"/>
                <w:highlight w:val="none"/>
              </w:rPr>
              <w:t xml:space="preserve">架构</w:t>
            </w:r>
            <w:r>
              <w:rPr>
                <w:rFonts w:ascii="宋体" w:hAnsi="宋体" w:eastAsia="宋体" w:cs="宋体"/>
                <w:sz w:val="24"/>
                <w:highlight w:val="none"/>
              </w:rPr>
              <w:t xml:space="preserve">CPU</w:t>
            </w:r>
            <w:r>
              <w:rPr>
                <w:rFonts w:hint="eastAsia" w:ascii="宋体" w:hAnsi="宋体" w:eastAsia="宋体" w:cs="宋体"/>
                <w:sz w:val="24"/>
                <w:highlight w:val="none"/>
              </w:rPr>
              <w:t xml:space="preserve">，每颗</w:t>
            </w:r>
            <w:r>
              <w:rPr>
                <w:rFonts w:ascii="宋体" w:hAnsi="宋体" w:eastAsia="宋体" w:cs="宋体"/>
                <w:sz w:val="24"/>
                <w:highlight w:val="none"/>
              </w:rPr>
              <w:t xml:space="preserve">CPU</w:t>
            </w:r>
            <w:r>
              <w:rPr>
                <w:rFonts w:hint="eastAsia" w:ascii="宋体" w:hAnsi="宋体" w:eastAsia="宋体" w:cs="宋体"/>
                <w:sz w:val="24"/>
                <w:highlight w:val="none"/>
              </w:rPr>
              <w:t xml:space="preserve">物理核心数≥</w:t>
            </w:r>
            <w:r>
              <w:rPr>
                <w:rFonts w:ascii="宋体" w:hAnsi="宋体" w:eastAsia="宋体" w:cs="宋体"/>
                <w:sz w:val="24"/>
                <w:highlight w:val="none"/>
              </w:rPr>
              <w:t xml:space="preserve">8</w:t>
            </w:r>
            <w:r>
              <w:rPr>
                <w:rFonts w:hint="eastAsia" w:ascii="宋体" w:hAnsi="宋体" w:eastAsia="宋体" w:cs="宋体"/>
                <w:sz w:val="24"/>
                <w:highlight w:val="none"/>
              </w:rPr>
              <w:t xml:space="preserve">核，每颗</w:t>
            </w:r>
            <w:r>
              <w:rPr>
                <w:rFonts w:ascii="宋体" w:hAnsi="宋体" w:eastAsia="宋体" w:cs="宋体"/>
                <w:sz w:val="24"/>
                <w:highlight w:val="none"/>
              </w:rPr>
              <w:t xml:space="preserve">CPU</w:t>
            </w:r>
            <w:r>
              <w:rPr>
                <w:rFonts w:hint="eastAsia" w:ascii="宋体" w:hAnsi="宋体" w:eastAsia="宋体" w:cs="宋体"/>
                <w:sz w:val="24"/>
                <w:highlight w:val="none"/>
              </w:rPr>
              <w:t xml:space="preserve">主频≥</w:t>
            </w:r>
            <w:r>
              <w:rPr>
                <w:rFonts w:ascii="宋体" w:hAnsi="宋体" w:eastAsia="宋体" w:cs="宋体"/>
                <w:sz w:val="24"/>
                <w:highlight w:val="none"/>
              </w:rPr>
              <w:t xml:space="preserve">3.0GHz</w:t>
            </w:r>
            <w:r>
              <w:rPr>
                <w:rFonts w:hint="eastAsia" w:ascii="宋体" w:hAnsi="宋体" w:eastAsia="宋体" w:cs="宋体"/>
                <w:sz w:val="24"/>
                <w:highlight w:val="none"/>
              </w:rPr>
              <w:t xml:space="preserve">，最高加速频率智能频率可提升至≥</w:t>
            </w:r>
            <w:r>
              <w:rPr>
                <w:rFonts w:ascii="宋体" w:hAnsi="宋体" w:eastAsia="宋体" w:cs="宋体"/>
                <w:sz w:val="24"/>
                <w:highlight w:val="none"/>
              </w:rPr>
              <w:t xml:space="preserve">3.3GHz</w:t>
            </w:r>
            <w:r>
              <w:rPr>
                <w:rFonts w:hint="eastAsia" w:ascii="宋体" w:hAnsi="宋体" w:eastAsia="宋体" w:cs="宋体"/>
                <w:sz w:val="24"/>
                <w:highlight w:val="none"/>
              </w:rPr>
              <w:t xml:space="preserve">，每颗</w:t>
            </w:r>
            <w:r>
              <w:rPr>
                <w:rFonts w:ascii="宋体" w:hAnsi="宋体" w:eastAsia="宋体" w:cs="宋体"/>
                <w:sz w:val="24"/>
                <w:highlight w:val="none"/>
              </w:rPr>
              <w:t xml:space="preserve">CPU</w:t>
            </w:r>
            <w:r>
              <w:rPr>
                <w:rFonts w:hint="eastAsia" w:ascii="宋体" w:hAnsi="宋体" w:eastAsia="宋体" w:cs="宋体"/>
                <w:sz w:val="24"/>
                <w:highlight w:val="none"/>
              </w:rPr>
              <w:t xml:space="preserve">三级缓存≥</w:t>
            </w:r>
            <w:r>
              <w:rPr>
                <w:rFonts w:ascii="宋体" w:hAnsi="宋体" w:eastAsia="宋体" w:cs="宋体"/>
                <w:sz w:val="24"/>
                <w:highlight w:val="none"/>
              </w:rPr>
              <w:t xml:space="preserve">16MB</w:t>
            </w:r>
            <w:r>
              <w:rPr>
                <w:rFonts w:hint="eastAsia" w:ascii="宋体" w:hAnsi="宋体" w:eastAsia="宋体" w:cs="宋体"/>
                <w:sz w:val="24"/>
                <w:highlight w:val="none"/>
              </w:rPr>
              <w:t xml:space="preserve">，支持超线程技术，</w:t>
            </w:r>
            <w:r>
              <w:rPr>
                <w:rFonts w:ascii="宋体" w:hAnsi="宋体" w:eastAsia="宋体" w:cs="宋体"/>
                <w:sz w:val="24"/>
                <w:highlight w:val="none"/>
              </w:rPr>
              <w:t xml:space="preserve">TDP</w:t>
            </w:r>
            <w:r>
              <w:rPr>
                <w:rFonts w:hint="eastAsia" w:ascii="宋体" w:hAnsi="宋体" w:eastAsia="宋体" w:cs="宋体"/>
                <w:sz w:val="24"/>
                <w:highlight w:val="none"/>
              </w:rPr>
              <w:t xml:space="preserve">≤</w:t>
            </w:r>
            <w:r>
              <w:rPr>
                <w:rFonts w:ascii="宋体" w:hAnsi="宋体" w:eastAsia="宋体" w:cs="宋体"/>
                <w:sz w:val="24"/>
                <w:highlight w:val="none"/>
              </w:rPr>
              <w:t xml:space="preserve">65W</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实际配置≥</w:t>
            </w:r>
            <w:r>
              <w:rPr>
                <w:rFonts w:ascii="宋体" w:hAnsi="宋体" w:eastAsia="宋体" w:cs="宋体"/>
                <w:sz w:val="24"/>
                <w:highlight w:val="none"/>
              </w:rPr>
              <w:t xml:space="preserve">32GB DDR4 3200MHz ECC RDIMM</w:t>
            </w:r>
            <w:r>
              <w:rPr>
                <w:rFonts w:hint="eastAsia" w:ascii="宋体" w:hAnsi="宋体" w:eastAsia="宋体" w:cs="宋体"/>
                <w:sz w:val="24"/>
                <w:highlight w:val="none"/>
              </w:rPr>
              <w:t xml:space="preserve">内存，配置≥</w:t>
            </w:r>
            <w:r>
              <w:rPr>
                <w:rFonts w:ascii="宋体" w:hAnsi="宋体" w:eastAsia="宋体" w:cs="宋体"/>
                <w:sz w:val="24"/>
                <w:highlight w:val="none"/>
              </w:rPr>
              <w:t xml:space="preserve">8</w:t>
            </w:r>
            <w:r>
              <w:rPr>
                <w:rFonts w:hint="eastAsia" w:ascii="宋体" w:hAnsi="宋体" w:eastAsia="宋体" w:cs="宋体"/>
                <w:sz w:val="24"/>
                <w:highlight w:val="none"/>
              </w:rPr>
              <w:t xml:space="preserve">个内存插槽，支持单条</w:t>
            </w:r>
            <w:r>
              <w:rPr>
                <w:rFonts w:ascii="宋体" w:hAnsi="宋体" w:eastAsia="宋体" w:cs="宋体"/>
                <w:sz w:val="24"/>
                <w:highlight w:val="none"/>
              </w:rPr>
              <w:t xml:space="preserve">64GB</w:t>
            </w:r>
            <w:r>
              <w:rPr>
                <w:rFonts w:hint="eastAsia" w:ascii="宋体" w:hAnsi="宋体" w:eastAsia="宋体" w:cs="宋体"/>
                <w:sz w:val="24"/>
                <w:highlight w:val="none"/>
              </w:rPr>
              <w:t xml:space="preserve">内存，最大可支持</w:t>
            </w:r>
            <w:r>
              <w:rPr>
                <w:rFonts w:ascii="宋体" w:hAnsi="宋体" w:eastAsia="宋体" w:cs="宋体"/>
                <w:sz w:val="24"/>
                <w:highlight w:val="none"/>
              </w:rPr>
              <w:t xml:space="preserve">512GB</w:t>
            </w:r>
            <w:r>
              <w:rPr>
                <w:rFonts w:hint="eastAsia" w:ascii="宋体" w:hAnsi="宋体" w:eastAsia="宋体" w:cs="宋体"/>
                <w:sz w:val="24"/>
                <w:highlight w:val="none"/>
              </w:rPr>
              <w:t xml:space="preserve">内存容量</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实际配置</w:t>
            </w:r>
            <w:r>
              <w:rPr>
                <w:rFonts w:ascii="宋体" w:hAnsi="宋体" w:eastAsia="宋体" w:cs="宋体"/>
                <w:sz w:val="24"/>
                <w:highlight w:val="none"/>
              </w:rPr>
              <w:t xml:space="preserve">1</w:t>
            </w:r>
            <w:r>
              <w:rPr>
                <w:rFonts w:hint="eastAsia" w:ascii="宋体" w:hAnsi="宋体" w:eastAsia="宋体" w:cs="宋体"/>
                <w:sz w:val="24"/>
                <w:highlight w:val="none"/>
              </w:rPr>
              <w:t xml:space="preserve">块≥</w:t>
            </w:r>
            <w:r>
              <w:rPr>
                <w:rFonts w:ascii="宋体" w:hAnsi="宋体" w:eastAsia="宋体" w:cs="宋体"/>
                <w:sz w:val="24"/>
                <w:highlight w:val="none"/>
              </w:rPr>
              <w:t xml:space="preserve">512GB NVMe SSD</w:t>
            </w:r>
            <w:r>
              <w:rPr>
                <w:rFonts w:hint="eastAsia" w:ascii="宋体" w:hAnsi="宋体" w:eastAsia="宋体" w:cs="宋体"/>
                <w:sz w:val="24"/>
                <w:highlight w:val="none"/>
              </w:rPr>
              <w:t xml:space="preserve">硬盘；</w:t>
            </w:r>
            <w:r>
              <w:rPr>
                <w:rFonts w:ascii="宋体" w:hAnsi="宋体" w:eastAsia="宋体" w:cs="宋体"/>
                <w:sz w:val="24"/>
                <w:highlight w:val="none"/>
              </w:rPr>
              <w:t xml:space="preserve">1</w:t>
            </w:r>
            <w:r>
              <w:rPr>
                <w:rFonts w:hint="eastAsia" w:ascii="宋体" w:hAnsi="宋体" w:eastAsia="宋体" w:cs="宋体"/>
                <w:sz w:val="24"/>
                <w:highlight w:val="none"/>
              </w:rPr>
              <w:t xml:space="preserve">块≥</w:t>
            </w:r>
            <w:r>
              <w:rPr>
                <w:rFonts w:ascii="宋体" w:hAnsi="宋体" w:eastAsia="宋体" w:cs="宋体"/>
                <w:sz w:val="24"/>
                <w:highlight w:val="none"/>
              </w:rPr>
              <w:t xml:space="preserve">2TB SATA 3.5</w:t>
            </w:r>
            <w:r>
              <w:rPr>
                <w:rFonts w:hint="eastAsia" w:ascii="宋体" w:hAnsi="宋体" w:eastAsia="宋体" w:cs="宋体"/>
                <w:sz w:val="24"/>
                <w:highlight w:val="none"/>
              </w:rPr>
              <w:t xml:space="preserve">寸硬盘；最大支持</w:t>
            </w:r>
            <w:r>
              <w:rPr>
                <w:rFonts w:ascii="宋体" w:hAnsi="宋体" w:eastAsia="宋体" w:cs="宋体"/>
                <w:sz w:val="24"/>
                <w:highlight w:val="none"/>
              </w:rPr>
              <w:t xml:space="preserve">2</w:t>
            </w:r>
            <w:r>
              <w:rPr>
                <w:rFonts w:hint="eastAsia" w:ascii="宋体" w:hAnsi="宋体" w:eastAsia="宋体" w:cs="宋体"/>
                <w:sz w:val="24"/>
                <w:highlight w:val="none"/>
              </w:rPr>
              <w:t xml:space="preserve">个</w:t>
            </w:r>
            <w:r>
              <w:rPr>
                <w:rFonts w:ascii="宋体" w:hAnsi="宋体" w:eastAsia="宋体" w:cs="宋体"/>
                <w:sz w:val="24"/>
                <w:highlight w:val="none"/>
              </w:rPr>
              <w:t xml:space="preserve">3.5</w:t>
            </w:r>
            <w:r>
              <w:rPr>
                <w:rFonts w:hint="eastAsia" w:ascii="宋体" w:hAnsi="宋体" w:eastAsia="宋体" w:cs="宋体"/>
                <w:sz w:val="24"/>
                <w:highlight w:val="none"/>
              </w:rPr>
              <w:t xml:space="preserve">寸</w:t>
            </w:r>
            <w:r>
              <w:rPr>
                <w:rFonts w:ascii="宋体" w:hAnsi="宋体" w:eastAsia="宋体" w:cs="宋体"/>
                <w:sz w:val="24"/>
                <w:highlight w:val="none"/>
              </w:rPr>
              <w:t xml:space="preserve">SAS/SATA/SSD</w:t>
            </w:r>
            <w:r>
              <w:rPr>
                <w:rFonts w:hint="eastAsia" w:ascii="宋体" w:hAnsi="宋体" w:eastAsia="宋体" w:cs="宋体"/>
                <w:sz w:val="24"/>
                <w:highlight w:val="none"/>
              </w:rPr>
              <w:t xml:space="preserve">硬盘；支持</w:t>
            </w:r>
            <w:r>
              <w:rPr>
                <w:rFonts w:ascii="宋体" w:hAnsi="宋体" w:eastAsia="宋体" w:cs="宋体"/>
                <w:sz w:val="24"/>
                <w:highlight w:val="none"/>
              </w:rPr>
              <w:t xml:space="preserve">SAS/RAID</w:t>
            </w:r>
            <w:r>
              <w:rPr>
                <w:rFonts w:hint="eastAsia" w:ascii="宋体" w:hAnsi="宋体" w:eastAsia="宋体" w:cs="宋体"/>
                <w:sz w:val="24"/>
                <w:highlight w:val="none"/>
              </w:rPr>
              <w:t xml:space="preserve">卡</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板载双口千兆网卡，支持</w:t>
            </w:r>
            <w:r>
              <w:rPr>
                <w:rFonts w:ascii="宋体" w:hAnsi="宋体" w:eastAsia="宋体" w:cs="宋体"/>
                <w:sz w:val="24"/>
                <w:highlight w:val="none"/>
              </w:rPr>
              <w:t xml:space="preserve">NCSI</w:t>
            </w:r>
            <w:r>
              <w:rPr>
                <w:rFonts w:hint="eastAsia" w:ascii="宋体" w:hAnsi="宋体" w:eastAsia="宋体" w:cs="宋体"/>
                <w:sz w:val="24"/>
                <w:highlight w:val="none"/>
              </w:rPr>
              <w:t xml:space="preserve">、网络唤醒，网络冗余，负载均衡等网络高级特性；支持千兆</w:t>
            </w:r>
            <w:r>
              <w:rPr>
                <w:rFonts w:ascii="宋体" w:hAnsi="宋体" w:eastAsia="宋体" w:cs="宋体"/>
                <w:sz w:val="24"/>
                <w:highlight w:val="none"/>
              </w:rPr>
              <w:t xml:space="preserve">/</w:t>
            </w:r>
            <w:r>
              <w:rPr>
                <w:rFonts w:hint="eastAsia" w:ascii="宋体" w:hAnsi="宋体" w:eastAsia="宋体" w:cs="宋体"/>
                <w:sz w:val="24"/>
                <w:highlight w:val="none"/>
              </w:rPr>
              <w:t xml:space="preserve">万兆网卡，支持</w:t>
            </w:r>
            <w:r>
              <w:rPr>
                <w:rFonts w:ascii="宋体" w:hAnsi="宋体" w:eastAsia="宋体" w:cs="宋体"/>
                <w:sz w:val="24"/>
                <w:highlight w:val="none"/>
              </w:rPr>
              <w:t xml:space="preserve">RJ45/SFP+:</w:t>
            </w:r>
            <w:r>
              <w:rPr>
                <w:rFonts w:hint="eastAsia" w:ascii="宋体" w:hAnsi="宋体" w:eastAsia="宋体" w:cs="宋体"/>
                <w:sz w:val="24"/>
                <w:highlight w:val="none"/>
              </w:rPr>
              <w:t xml:space="preserve">前面板≥</w:t>
            </w:r>
            <w:r>
              <w:rPr>
                <w:rFonts w:ascii="宋体" w:hAnsi="宋体" w:eastAsia="宋体" w:cs="宋体"/>
                <w:sz w:val="24"/>
                <w:highlight w:val="none"/>
              </w:rPr>
              <w:t xml:space="preserve">2</w:t>
            </w:r>
            <w:r>
              <w:rPr>
                <w:rFonts w:hint="eastAsia" w:ascii="宋体" w:hAnsi="宋体" w:eastAsia="宋体" w:cs="宋体"/>
                <w:sz w:val="24"/>
                <w:highlight w:val="none"/>
              </w:rPr>
              <w:t xml:space="preserve">个</w:t>
            </w:r>
            <w:r>
              <w:rPr>
                <w:rFonts w:ascii="宋体" w:hAnsi="宋体" w:eastAsia="宋体" w:cs="宋体"/>
                <w:sz w:val="24"/>
                <w:highlight w:val="none"/>
              </w:rPr>
              <w:t xml:space="preserve">USB3.0</w:t>
            </w:r>
            <w:r>
              <w:rPr>
                <w:rFonts w:hint="eastAsia" w:ascii="宋体" w:hAnsi="宋体" w:eastAsia="宋体" w:cs="宋体"/>
                <w:sz w:val="24"/>
                <w:highlight w:val="none"/>
              </w:rPr>
              <w:t xml:space="preserve">接口</w:t>
            </w:r>
            <w:r>
              <w:rPr>
                <w:rFonts w:ascii="宋体" w:hAnsi="宋体" w:eastAsia="宋体" w:cs="宋体"/>
                <w:sz w:val="24"/>
                <w:highlight w:val="none"/>
              </w:rPr>
              <w:t xml:space="preserve">,</w:t>
            </w:r>
            <w:r>
              <w:rPr>
                <w:rFonts w:hint="eastAsia" w:ascii="宋体" w:hAnsi="宋体" w:eastAsia="宋体" w:cs="宋体"/>
                <w:sz w:val="24"/>
                <w:highlight w:val="none"/>
              </w:rPr>
              <w:t xml:space="preserve">后面板≥</w:t>
            </w:r>
            <w:r>
              <w:rPr>
                <w:rFonts w:ascii="宋体" w:hAnsi="宋体" w:eastAsia="宋体" w:cs="宋体"/>
                <w:sz w:val="24"/>
                <w:highlight w:val="none"/>
              </w:rPr>
              <w:t xml:space="preserve">1</w:t>
            </w:r>
            <w:r>
              <w:rPr>
                <w:rFonts w:hint="eastAsia" w:ascii="宋体" w:hAnsi="宋体" w:eastAsia="宋体" w:cs="宋体"/>
                <w:sz w:val="24"/>
                <w:highlight w:val="none"/>
              </w:rPr>
              <w:t xml:space="preserve">组音频接口</w:t>
            </w:r>
            <w:r>
              <w:rPr>
                <w:rFonts w:ascii="宋体" w:hAnsi="宋体" w:eastAsia="宋体" w:cs="宋体"/>
                <w:sz w:val="24"/>
                <w:highlight w:val="none"/>
              </w:rPr>
              <w:t xml:space="preserve">,</w:t>
            </w:r>
            <w:r>
              <w:rPr>
                <w:rFonts w:hint="eastAsia" w:ascii="宋体" w:hAnsi="宋体" w:eastAsia="宋体" w:cs="宋体"/>
                <w:sz w:val="24"/>
                <w:highlight w:val="none"/>
              </w:rPr>
              <w:t xml:space="preserve">≥</w:t>
            </w:r>
            <w:r>
              <w:rPr>
                <w:rFonts w:ascii="宋体" w:hAnsi="宋体" w:eastAsia="宋体" w:cs="宋体"/>
                <w:sz w:val="24"/>
                <w:highlight w:val="none"/>
              </w:rPr>
              <w:t xml:space="preserve">4</w:t>
            </w:r>
            <w:r>
              <w:rPr>
                <w:rFonts w:hint="eastAsia" w:ascii="宋体" w:hAnsi="宋体" w:eastAsia="宋体" w:cs="宋体"/>
                <w:sz w:val="24"/>
                <w:highlight w:val="none"/>
              </w:rPr>
              <w:t xml:space="preserve">个</w:t>
            </w:r>
            <w:r>
              <w:rPr>
                <w:rFonts w:ascii="宋体" w:hAnsi="宋体" w:eastAsia="宋体" w:cs="宋体"/>
                <w:sz w:val="24"/>
                <w:highlight w:val="none"/>
              </w:rPr>
              <w:t xml:space="preserve">USB3.0</w:t>
            </w:r>
            <w:r>
              <w:rPr>
                <w:rFonts w:hint="eastAsia" w:ascii="宋体" w:hAnsi="宋体" w:eastAsia="宋体" w:cs="宋体"/>
                <w:sz w:val="24"/>
                <w:highlight w:val="none"/>
              </w:rPr>
              <w:t xml:space="preserve">接口</w:t>
            </w:r>
            <w:r>
              <w:rPr>
                <w:rFonts w:ascii="宋体" w:hAnsi="宋体" w:eastAsia="宋体" w:cs="宋体"/>
                <w:sz w:val="24"/>
                <w:highlight w:val="none"/>
              </w:rPr>
              <w:t xml:space="preserve">,</w:t>
            </w: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个千兆管理口</w:t>
            </w:r>
            <w:r>
              <w:rPr>
                <w:rFonts w:ascii="宋体" w:hAnsi="宋体" w:eastAsia="宋体" w:cs="宋体"/>
                <w:sz w:val="24"/>
                <w:highlight w:val="none"/>
              </w:rPr>
              <w:t xml:space="preserve">,</w:t>
            </w:r>
            <w:r>
              <w:rPr>
                <w:rFonts w:hint="eastAsia" w:ascii="宋体" w:hAnsi="宋体" w:eastAsia="宋体" w:cs="宋体"/>
                <w:sz w:val="24"/>
                <w:highlight w:val="none"/>
              </w:rPr>
              <w:t xml:space="preserve">板载</w:t>
            </w:r>
            <w:r>
              <w:rPr>
                <w:rFonts w:ascii="宋体" w:hAnsi="宋体" w:eastAsia="宋体" w:cs="宋体"/>
                <w:sz w:val="24"/>
                <w:highlight w:val="none"/>
              </w:rPr>
              <w:t xml:space="preserve">VGA</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配置有线键盘鼠标；</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7.</w:t>
            </w:r>
            <w:r>
              <w:rPr>
                <w:rFonts w:hint="eastAsia" w:ascii="宋体" w:hAnsi="宋体" w:eastAsia="宋体" w:cs="宋体"/>
                <w:sz w:val="24"/>
                <w:highlight w:val="none"/>
              </w:rPr>
              <w:t xml:space="preserve">配置≥</w:t>
            </w:r>
            <w:r>
              <w:rPr>
                <w:rFonts w:ascii="宋体" w:hAnsi="宋体" w:eastAsia="宋体" w:cs="宋体"/>
                <w:sz w:val="24"/>
                <w:highlight w:val="none"/>
              </w:rPr>
              <w:t xml:space="preserve">600W</w:t>
            </w:r>
            <w:r>
              <w:rPr>
                <w:rFonts w:hint="eastAsia" w:ascii="宋体" w:hAnsi="宋体" w:eastAsia="宋体" w:cs="宋体"/>
                <w:sz w:val="24"/>
                <w:highlight w:val="none"/>
              </w:rPr>
              <w:t xml:space="preserve">静音电源；</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8.</w:t>
            </w:r>
            <w:r>
              <w:rPr>
                <w:rFonts w:hint="eastAsia" w:ascii="宋体" w:hAnsi="宋体" w:eastAsia="宋体" w:cs="宋体"/>
                <w:sz w:val="24"/>
                <w:highlight w:val="none"/>
              </w:rPr>
              <w:t xml:space="preserve">含显示器、键盘</w:t>
            </w:r>
            <w:r>
              <w:rPr>
                <w:rFonts w:ascii="宋体" w:hAnsi="宋体" w:eastAsia="宋体" w:cs="宋体"/>
                <w:sz w:val="24"/>
                <w:highlight w:val="none"/>
              </w:rPr>
            </w:r>
            <w:r/>
          </w:p>
          <w:p>
            <w:pPr>
              <w:pStyle w:val="737"/>
              <w:widowControl/>
              <w:rPr>
                <w:rFonts w:hint="eastAsia" w:ascii="宋体" w:hAnsi="宋体" w:eastAsia="宋体" w:cs="宋体"/>
                <w:sz w:val="24"/>
                <w:highlight w:val="none"/>
              </w:rPr>
            </w:pPr>
            <w:r>
              <w:rPr>
                <w:rFonts w:ascii="宋体" w:hAnsi="宋体" w:eastAsia="宋体" w:cs="宋体"/>
                <w:sz w:val="24"/>
                <w:highlight w:val="none"/>
              </w:rPr>
              <w:t xml:space="preserve">9.</w:t>
            </w:r>
            <w:r>
              <w:rPr>
                <w:rFonts w:hint="eastAsia" w:ascii="宋体" w:hAnsi="宋体" w:eastAsia="宋体" w:cs="宋体"/>
                <w:sz w:val="24"/>
                <w:highlight w:val="none"/>
              </w:rPr>
              <w:t xml:space="preserve">通过</w:t>
            </w:r>
            <w:r>
              <w:rPr>
                <w:rFonts w:ascii="宋体" w:hAnsi="宋体" w:eastAsia="宋体" w:cs="宋体"/>
                <w:sz w:val="24"/>
                <w:highlight w:val="none"/>
              </w:rPr>
              <w:t xml:space="preserve">3C</w:t>
            </w:r>
            <w:r>
              <w:rPr>
                <w:rFonts w:hint="eastAsia" w:ascii="宋体" w:hAnsi="宋体" w:eastAsia="宋体" w:cs="宋体"/>
                <w:sz w:val="24"/>
                <w:highlight w:val="none"/>
              </w:rPr>
              <w:t xml:space="preserve">认证、节能认证证书。</w:t>
            </w:r>
            <w:r>
              <w:rPr>
                <w:rFonts w:hint="eastAsia" w:ascii="宋体" w:hAnsi="宋体" w:eastAsia="宋体" w:cs="宋体"/>
                <w:sz w:val="24"/>
                <w:highlight w:val="none"/>
              </w:rPr>
            </w:r>
            <w:r/>
          </w:p>
        </w:tc>
      </w:tr>
      <w:tr>
        <w:trPr>
          <w:trHeight w:val="959"/>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信息系统终端计算机</w:t>
            </w:r>
            <w:r>
              <w:rPr>
                <w:rFonts w:hint="eastAsia" w:ascii="宋体" w:hAnsi="宋体" w:eastAsia="宋体" w:cs="宋体"/>
                <w:sz w:val="24"/>
                <w:highlight w:val="none"/>
              </w:rPr>
            </w:r>
            <w:r/>
          </w:p>
        </w:tc>
        <w:tc>
          <w:tcPr>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5022" w:type="dxa"/>
            <w:vAlign w:val="center"/>
            <w:textDirection w:val="lrTb"/>
            <w:noWrap w:val="false"/>
          </w:tcPr>
          <w:p>
            <w:pPr>
              <w:pStyle w:val="737"/>
              <w:widowControl/>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国产自主研发品牌，专业图形处理工作站</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处理器采用板载设计，配置</w:t>
            </w:r>
            <w:r>
              <w:rPr>
                <w:rFonts w:ascii="宋体" w:hAnsi="宋体" w:eastAsia="宋体" w:cs="宋体"/>
                <w:sz w:val="24"/>
                <w:highlight w:val="none"/>
              </w:rPr>
              <w:t xml:space="preserve">1</w:t>
            </w:r>
            <w:r>
              <w:rPr>
                <w:rFonts w:hint="eastAsia" w:ascii="宋体" w:hAnsi="宋体" w:eastAsia="宋体" w:cs="宋体"/>
                <w:sz w:val="24"/>
                <w:highlight w:val="none"/>
              </w:rPr>
              <w:t xml:space="preserve">颗国产</w:t>
            </w:r>
            <w:r>
              <w:rPr>
                <w:rFonts w:ascii="宋体" w:hAnsi="宋体" w:eastAsia="宋体" w:cs="宋体"/>
                <w:sz w:val="24"/>
                <w:highlight w:val="none"/>
              </w:rPr>
              <w:t xml:space="preserve">C86</w:t>
            </w:r>
            <w:r>
              <w:rPr>
                <w:rFonts w:hint="eastAsia" w:ascii="宋体" w:hAnsi="宋体" w:eastAsia="宋体" w:cs="宋体"/>
                <w:sz w:val="24"/>
                <w:highlight w:val="none"/>
              </w:rPr>
              <w:t xml:space="preserve">架构</w:t>
            </w:r>
            <w:r>
              <w:rPr>
                <w:rFonts w:ascii="宋体" w:hAnsi="宋体" w:eastAsia="宋体" w:cs="宋体"/>
                <w:sz w:val="24"/>
                <w:highlight w:val="none"/>
              </w:rPr>
              <w:t xml:space="preserve">CPU</w:t>
            </w:r>
            <w:r>
              <w:rPr>
                <w:rFonts w:hint="eastAsia" w:ascii="宋体" w:hAnsi="宋体" w:eastAsia="宋体" w:cs="宋体"/>
                <w:sz w:val="24"/>
                <w:highlight w:val="none"/>
              </w:rPr>
              <w:t xml:space="preserve">，每颗</w:t>
            </w:r>
            <w:r>
              <w:rPr>
                <w:rFonts w:ascii="宋体" w:hAnsi="宋体" w:eastAsia="宋体" w:cs="宋体"/>
                <w:sz w:val="24"/>
                <w:highlight w:val="none"/>
              </w:rPr>
              <w:t xml:space="preserve">CPU</w:t>
            </w:r>
            <w:r>
              <w:rPr>
                <w:rFonts w:hint="eastAsia" w:ascii="宋体" w:hAnsi="宋体" w:eastAsia="宋体" w:cs="宋体"/>
                <w:sz w:val="24"/>
                <w:highlight w:val="none"/>
              </w:rPr>
              <w:t xml:space="preserve">物理核心数≥</w:t>
            </w:r>
            <w:r>
              <w:rPr>
                <w:rFonts w:ascii="宋体" w:hAnsi="宋体" w:eastAsia="宋体" w:cs="宋体"/>
                <w:sz w:val="24"/>
                <w:highlight w:val="none"/>
              </w:rPr>
              <w:t xml:space="preserve">8</w:t>
            </w:r>
            <w:r>
              <w:rPr>
                <w:rFonts w:hint="eastAsia" w:ascii="宋体" w:hAnsi="宋体" w:eastAsia="宋体" w:cs="宋体"/>
                <w:sz w:val="24"/>
                <w:highlight w:val="none"/>
              </w:rPr>
              <w:t xml:space="preserve">核，每颗</w:t>
            </w:r>
            <w:r>
              <w:rPr>
                <w:rFonts w:ascii="宋体" w:hAnsi="宋体" w:eastAsia="宋体" w:cs="宋体"/>
                <w:sz w:val="24"/>
                <w:highlight w:val="none"/>
              </w:rPr>
              <w:t xml:space="preserve">CPU</w:t>
            </w:r>
            <w:r>
              <w:rPr>
                <w:rFonts w:hint="eastAsia" w:ascii="宋体" w:hAnsi="宋体" w:eastAsia="宋体" w:cs="宋体"/>
                <w:sz w:val="24"/>
                <w:highlight w:val="none"/>
              </w:rPr>
              <w:t xml:space="preserve">主频≥</w:t>
            </w:r>
            <w:r>
              <w:rPr>
                <w:rFonts w:ascii="宋体" w:hAnsi="宋体" w:eastAsia="宋体" w:cs="宋体"/>
                <w:sz w:val="24"/>
                <w:highlight w:val="none"/>
              </w:rPr>
              <w:t xml:space="preserve">3.0GHz</w:t>
            </w:r>
            <w:r>
              <w:rPr>
                <w:rFonts w:hint="eastAsia" w:ascii="宋体" w:hAnsi="宋体" w:eastAsia="宋体" w:cs="宋体"/>
                <w:sz w:val="24"/>
                <w:highlight w:val="none"/>
              </w:rPr>
              <w:t xml:space="preserve">，最高加速频率智能频率可提升至≥</w:t>
            </w:r>
            <w:r>
              <w:rPr>
                <w:rFonts w:ascii="宋体" w:hAnsi="宋体" w:eastAsia="宋体" w:cs="宋体"/>
                <w:sz w:val="24"/>
                <w:highlight w:val="none"/>
              </w:rPr>
              <w:t xml:space="preserve">3.3GHz</w:t>
            </w:r>
            <w:r>
              <w:rPr>
                <w:rFonts w:hint="eastAsia" w:ascii="宋体" w:hAnsi="宋体" w:eastAsia="宋体" w:cs="宋体"/>
                <w:sz w:val="24"/>
                <w:highlight w:val="none"/>
              </w:rPr>
              <w:t xml:space="preserve">，每颗</w:t>
            </w:r>
            <w:r>
              <w:rPr>
                <w:rFonts w:ascii="宋体" w:hAnsi="宋体" w:eastAsia="宋体" w:cs="宋体"/>
                <w:sz w:val="24"/>
                <w:highlight w:val="none"/>
              </w:rPr>
              <w:t xml:space="preserve">CPU</w:t>
            </w:r>
            <w:r>
              <w:rPr>
                <w:rFonts w:hint="eastAsia" w:ascii="宋体" w:hAnsi="宋体" w:eastAsia="宋体" w:cs="宋体"/>
                <w:sz w:val="24"/>
                <w:highlight w:val="none"/>
              </w:rPr>
              <w:t xml:space="preserve">三级缓存≥</w:t>
            </w:r>
            <w:r>
              <w:rPr>
                <w:rFonts w:ascii="宋体" w:hAnsi="宋体" w:eastAsia="宋体" w:cs="宋体"/>
                <w:sz w:val="24"/>
                <w:highlight w:val="none"/>
              </w:rPr>
              <w:t xml:space="preserve">16MB</w:t>
            </w:r>
            <w:r>
              <w:rPr>
                <w:rFonts w:hint="eastAsia" w:ascii="宋体" w:hAnsi="宋体" w:eastAsia="宋体" w:cs="宋体"/>
                <w:sz w:val="24"/>
                <w:highlight w:val="none"/>
              </w:rPr>
              <w:t xml:space="preserve">，支持超线程技术，线程数量≥</w:t>
            </w:r>
            <w:r>
              <w:rPr>
                <w:rFonts w:ascii="宋体" w:hAnsi="宋体" w:eastAsia="宋体" w:cs="宋体"/>
                <w:sz w:val="24"/>
                <w:highlight w:val="none"/>
              </w:rPr>
              <w:t xml:space="preserve">16</w:t>
            </w:r>
            <w:r>
              <w:rPr>
                <w:rFonts w:hint="eastAsia" w:ascii="宋体" w:hAnsi="宋体" w:eastAsia="宋体" w:cs="宋体"/>
                <w:sz w:val="24"/>
                <w:highlight w:val="none"/>
              </w:rPr>
              <w:t xml:space="preserve">，</w:t>
            </w:r>
            <w:r>
              <w:rPr>
                <w:rFonts w:ascii="宋体" w:hAnsi="宋体" w:eastAsia="宋体" w:cs="宋体"/>
                <w:sz w:val="24"/>
                <w:highlight w:val="none"/>
              </w:rPr>
              <w:t xml:space="preserve">TDP</w:t>
            </w:r>
            <w:r>
              <w:rPr>
                <w:rFonts w:hint="eastAsia" w:ascii="宋体" w:hAnsi="宋体" w:eastAsia="宋体" w:cs="宋体"/>
                <w:sz w:val="24"/>
                <w:highlight w:val="none"/>
              </w:rPr>
              <w:t xml:space="preserve">≤</w:t>
            </w:r>
            <w:r>
              <w:rPr>
                <w:rFonts w:ascii="宋体" w:hAnsi="宋体" w:eastAsia="宋体" w:cs="宋体"/>
                <w:sz w:val="24"/>
                <w:highlight w:val="none"/>
              </w:rPr>
              <w:t xml:space="preserve">65W</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实际配置≥</w:t>
            </w:r>
            <w:r>
              <w:rPr>
                <w:rFonts w:ascii="宋体" w:hAnsi="宋体" w:eastAsia="宋体" w:cs="宋体"/>
                <w:sz w:val="24"/>
                <w:highlight w:val="none"/>
              </w:rPr>
              <w:t xml:space="preserve">8GB DDR4 3200MHz UDIMM</w:t>
            </w:r>
            <w:r>
              <w:rPr>
                <w:rFonts w:hint="eastAsia" w:ascii="宋体" w:hAnsi="宋体" w:eastAsia="宋体" w:cs="宋体"/>
                <w:sz w:val="24"/>
                <w:highlight w:val="none"/>
              </w:rPr>
              <w:t xml:space="preserve">内存，配置≥</w:t>
            </w:r>
            <w:r>
              <w:rPr>
                <w:rFonts w:ascii="宋体" w:hAnsi="宋体" w:eastAsia="宋体" w:cs="宋体"/>
                <w:sz w:val="24"/>
                <w:highlight w:val="none"/>
              </w:rPr>
              <w:t xml:space="preserve">4</w:t>
            </w:r>
            <w:r>
              <w:rPr>
                <w:rFonts w:hint="eastAsia" w:ascii="宋体" w:hAnsi="宋体" w:eastAsia="宋体" w:cs="宋体"/>
                <w:sz w:val="24"/>
                <w:highlight w:val="none"/>
              </w:rPr>
              <w:t xml:space="preserve">个内存插槽，最大支持单条</w:t>
            </w:r>
            <w:r>
              <w:rPr>
                <w:rFonts w:ascii="宋体" w:hAnsi="宋体" w:eastAsia="宋体" w:cs="宋体"/>
                <w:sz w:val="24"/>
                <w:highlight w:val="none"/>
              </w:rPr>
              <w:t xml:space="preserve">32GB</w:t>
            </w:r>
            <w:r>
              <w:rPr>
                <w:rFonts w:hint="eastAsia" w:ascii="宋体" w:hAnsi="宋体" w:eastAsia="宋体" w:cs="宋体"/>
                <w:sz w:val="24"/>
                <w:highlight w:val="none"/>
              </w:rPr>
              <w:t xml:space="preserve">内存，最大可支持</w:t>
            </w:r>
            <w:r>
              <w:rPr>
                <w:rFonts w:ascii="宋体" w:hAnsi="宋体" w:eastAsia="宋体" w:cs="宋体"/>
                <w:sz w:val="24"/>
                <w:highlight w:val="none"/>
              </w:rPr>
              <w:t xml:space="preserve">128GB</w:t>
            </w:r>
            <w:r>
              <w:rPr>
                <w:rFonts w:hint="eastAsia" w:ascii="宋体" w:hAnsi="宋体" w:eastAsia="宋体" w:cs="宋体"/>
                <w:sz w:val="24"/>
                <w:highlight w:val="none"/>
              </w:rPr>
              <w:t xml:space="preserve">内存容量，支持内存</w:t>
            </w:r>
            <w:r>
              <w:rPr>
                <w:rFonts w:ascii="宋体" w:hAnsi="宋体" w:eastAsia="宋体" w:cs="宋体"/>
                <w:sz w:val="24"/>
                <w:highlight w:val="none"/>
              </w:rPr>
              <w:t xml:space="preserve">Register ECC</w:t>
            </w:r>
            <w:r>
              <w:rPr>
                <w:rFonts w:hint="eastAsia" w:ascii="宋体" w:hAnsi="宋体" w:eastAsia="宋体" w:cs="宋体"/>
                <w:sz w:val="24"/>
                <w:highlight w:val="none"/>
              </w:rPr>
              <w:t xml:space="preserve">保护、内存镜像、内存热备；</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实际配置</w:t>
            </w:r>
            <w:r>
              <w:rPr>
                <w:rFonts w:ascii="宋体" w:hAnsi="宋体" w:eastAsia="宋体" w:cs="宋体"/>
                <w:sz w:val="24"/>
                <w:highlight w:val="none"/>
              </w:rPr>
              <w:t xml:space="preserve">1</w:t>
            </w:r>
            <w:r>
              <w:rPr>
                <w:rFonts w:hint="eastAsia" w:ascii="宋体" w:hAnsi="宋体" w:eastAsia="宋体" w:cs="宋体"/>
                <w:sz w:val="24"/>
                <w:highlight w:val="none"/>
              </w:rPr>
              <w:t xml:space="preserve">块≥</w:t>
            </w:r>
            <w:r>
              <w:rPr>
                <w:rFonts w:ascii="宋体" w:hAnsi="宋体" w:eastAsia="宋体" w:cs="宋体"/>
                <w:sz w:val="24"/>
                <w:highlight w:val="none"/>
              </w:rPr>
              <w:t xml:space="preserve">512GB NVMe SSD</w:t>
            </w:r>
            <w:r>
              <w:rPr>
                <w:rFonts w:hint="eastAsia" w:ascii="宋体" w:hAnsi="宋体" w:eastAsia="宋体" w:cs="宋体"/>
                <w:sz w:val="24"/>
                <w:highlight w:val="none"/>
              </w:rPr>
              <w:t xml:space="preserve">硬盘；最大支持</w:t>
            </w:r>
            <w:r>
              <w:rPr>
                <w:rFonts w:ascii="宋体" w:hAnsi="宋体" w:eastAsia="宋体" w:cs="宋体"/>
                <w:sz w:val="24"/>
                <w:highlight w:val="none"/>
              </w:rPr>
              <w:t xml:space="preserve">2</w:t>
            </w:r>
            <w:r>
              <w:rPr>
                <w:rFonts w:hint="eastAsia" w:ascii="宋体" w:hAnsi="宋体" w:eastAsia="宋体" w:cs="宋体"/>
                <w:sz w:val="24"/>
                <w:highlight w:val="none"/>
              </w:rPr>
              <w:t xml:space="preserve">个</w:t>
            </w:r>
            <w:r>
              <w:rPr>
                <w:rFonts w:ascii="宋体" w:hAnsi="宋体" w:eastAsia="宋体" w:cs="宋体"/>
                <w:sz w:val="24"/>
                <w:highlight w:val="none"/>
              </w:rPr>
              <w:t xml:space="preserve">3.5</w:t>
            </w:r>
            <w:r>
              <w:rPr>
                <w:rFonts w:hint="eastAsia" w:ascii="宋体" w:hAnsi="宋体" w:eastAsia="宋体" w:cs="宋体"/>
                <w:sz w:val="24"/>
                <w:highlight w:val="none"/>
              </w:rPr>
              <w:t xml:space="preserve">寸</w:t>
            </w:r>
            <w:r>
              <w:rPr>
                <w:rFonts w:ascii="宋体" w:hAnsi="宋体" w:eastAsia="宋体" w:cs="宋体"/>
                <w:sz w:val="24"/>
                <w:highlight w:val="none"/>
              </w:rPr>
              <w:t xml:space="preserve">SATA</w:t>
            </w:r>
            <w:r>
              <w:rPr>
                <w:rFonts w:hint="eastAsia" w:ascii="宋体" w:hAnsi="宋体" w:eastAsia="宋体" w:cs="宋体"/>
                <w:sz w:val="24"/>
                <w:highlight w:val="none"/>
              </w:rPr>
              <w:t xml:space="preserve">硬盘和</w:t>
            </w:r>
            <w:r>
              <w:rPr>
                <w:rFonts w:ascii="宋体" w:hAnsi="宋体" w:eastAsia="宋体" w:cs="宋体"/>
                <w:sz w:val="24"/>
                <w:highlight w:val="none"/>
              </w:rPr>
              <w:t xml:space="preserve">1</w:t>
            </w:r>
            <w:r>
              <w:rPr>
                <w:rFonts w:hint="eastAsia" w:ascii="宋体" w:hAnsi="宋体" w:eastAsia="宋体" w:cs="宋体"/>
                <w:sz w:val="24"/>
                <w:highlight w:val="none"/>
              </w:rPr>
              <w:t xml:space="preserve">个</w:t>
            </w:r>
            <w:r>
              <w:rPr>
                <w:rFonts w:ascii="宋体" w:hAnsi="宋体" w:eastAsia="宋体" w:cs="宋体"/>
                <w:sz w:val="24"/>
                <w:highlight w:val="none"/>
              </w:rPr>
              <w:t xml:space="preserve">2.5</w:t>
            </w:r>
            <w:r>
              <w:rPr>
                <w:rFonts w:hint="eastAsia" w:ascii="宋体" w:hAnsi="宋体" w:eastAsia="宋体" w:cs="宋体"/>
                <w:sz w:val="24"/>
                <w:highlight w:val="none"/>
              </w:rPr>
              <w:t xml:space="preserve">寸</w:t>
            </w:r>
            <w:r>
              <w:rPr>
                <w:rFonts w:ascii="宋体" w:hAnsi="宋体" w:eastAsia="宋体" w:cs="宋体"/>
                <w:sz w:val="24"/>
                <w:highlight w:val="none"/>
              </w:rPr>
              <w:t xml:space="preserve">SATA/SSD</w:t>
            </w:r>
            <w:r>
              <w:rPr>
                <w:rFonts w:hint="eastAsia" w:ascii="宋体" w:hAnsi="宋体" w:eastAsia="宋体" w:cs="宋体"/>
                <w:sz w:val="24"/>
                <w:highlight w:val="none"/>
              </w:rPr>
              <w:t xml:space="preserve">硬盘；主板集成</w:t>
            </w:r>
            <w:r>
              <w:rPr>
                <w:rFonts w:ascii="宋体" w:hAnsi="宋体" w:eastAsia="宋体" w:cs="宋体"/>
                <w:sz w:val="24"/>
                <w:highlight w:val="none"/>
              </w:rPr>
              <w:t xml:space="preserve">1</w:t>
            </w:r>
            <w:r>
              <w:rPr>
                <w:rFonts w:hint="eastAsia" w:ascii="宋体" w:hAnsi="宋体" w:eastAsia="宋体" w:cs="宋体"/>
                <w:sz w:val="24"/>
                <w:highlight w:val="none"/>
              </w:rPr>
              <w:t xml:space="preserve">个</w:t>
            </w:r>
            <w:r>
              <w:rPr>
                <w:rFonts w:ascii="宋体" w:hAnsi="宋体" w:eastAsia="宋体" w:cs="宋体"/>
                <w:sz w:val="24"/>
                <w:highlight w:val="none"/>
              </w:rPr>
              <w:t xml:space="preserve">PCIe/SATA M.2</w:t>
            </w:r>
            <w:r>
              <w:rPr>
                <w:rFonts w:hint="eastAsia" w:ascii="宋体" w:hAnsi="宋体" w:eastAsia="宋体" w:cs="宋体"/>
                <w:sz w:val="24"/>
                <w:highlight w:val="none"/>
              </w:rPr>
              <w:t xml:space="preserve">接口</w:t>
            </w:r>
            <w:r>
              <w:rPr>
                <w:rFonts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提供</w:t>
            </w:r>
            <w:r>
              <w:rPr>
                <w:rFonts w:ascii="宋体" w:hAnsi="宋体" w:eastAsia="宋体" w:cs="宋体"/>
                <w:sz w:val="24"/>
                <w:highlight w:val="none"/>
              </w:rPr>
              <w:t xml:space="preserve">4</w:t>
            </w:r>
            <w:r>
              <w:rPr>
                <w:rFonts w:hint="eastAsia" w:ascii="宋体" w:hAnsi="宋体" w:eastAsia="宋体" w:cs="宋体"/>
                <w:sz w:val="24"/>
                <w:highlight w:val="none"/>
              </w:rPr>
              <w:t xml:space="preserve">个</w:t>
            </w:r>
            <w:r>
              <w:rPr>
                <w:rFonts w:ascii="宋体" w:hAnsi="宋体" w:eastAsia="宋体" w:cs="宋体"/>
                <w:sz w:val="24"/>
                <w:highlight w:val="none"/>
              </w:rPr>
              <w:t xml:space="preserve">PCI-E</w:t>
            </w:r>
            <w:r>
              <w:rPr>
                <w:rFonts w:hint="eastAsia" w:ascii="宋体" w:hAnsi="宋体" w:eastAsia="宋体" w:cs="宋体"/>
                <w:sz w:val="24"/>
                <w:highlight w:val="none"/>
              </w:rPr>
              <w:t xml:space="preserve">插槽</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实际配置</w:t>
            </w:r>
            <w:r>
              <w:rPr>
                <w:rFonts w:ascii="宋体" w:hAnsi="宋体" w:eastAsia="宋体" w:cs="宋体"/>
                <w:sz w:val="24"/>
                <w:highlight w:val="none"/>
              </w:rPr>
              <w:t xml:space="preserve">1</w:t>
            </w:r>
            <w:r>
              <w:rPr>
                <w:rFonts w:hint="eastAsia" w:ascii="宋体" w:hAnsi="宋体" w:eastAsia="宋体" w:cs="宋体"/>
                <w:sz w:val="24"/>
                <w:highlight w:val="none"/>
              </w:rPr>
              <w:t xml:space="preserve">张独立显卡；显存≥</w:t>
            </w:r>
            <w:r>
              <w:rPr>
                <w:rFonts w:hint="eastAsia" w:ascii="宋体" w:hAnsi="宋体" w:eastAsia="宋体" w:cs="宋体"/>
                <w:sz w:val="24"/>
                <w:highlight w:val="none"/>
                <w:lang w:val="en-US" w:eastAsia="zh-CN"/>
              </w:rPr>
              <w:t xml:space="preserve">8</w:t>
            </w:r>
            <w:r>
              <w:rPr>
                <w:rFonts w:ascii="宋体" w:hAnsi="宋体" w:eastAsia="宋体" w:cs="宋体"/>
                <w:sz w:val="24"/>
                <w:highlight w:val="none"/>
              </w:rPr>
              <w:t xml:space="preserve">GB</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7.</w:t>
            </w:r>
            <w:r>
              <w:rPr>
                <w:rFonts w:hint="eastAsia" w:ascii="宋体" w:hAnsi="宋体" w:eastAsia="宋体" w:cs="宋体"/>
                <w:sz w:val="24"/>
                <w:highlight w:val="none"/>
              </w:rPr>
              <w:t xml:space="preserve">双口千兆网卡，</w:t>
            </w:r>
            <w:r>
              <w:rPr>
                <w:rFonts w:ascii="宋体" w:hAnsi="宋体" w:eastAsia="宋体" w:cs="宋体"/>
                <w:sz w:val="24"/>
                <w:highlight w:val="none"/>
              </w:rPr>
              <w:t xml:space="preserve">1000/100/10M</w:t>
            </w:r>
            <w:r>
              <w:rPr>
                <w:rFonts w:hint="eastAsia" w:ascii="宋体" w:hAnsi="宋体" w:eastAsia="宋体" w:cs="宋体"/>
                <w:sz w:val="24"/>
                <w:highlight w:val="none"/>
              </w:rPr>
              <w:t xml:space="preserve">自适应；唤醒，网络冗余，负载均衡等网络高级特性；</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提供</w:t>
            </w:r>
            <w:r>
              <w:rPr>
                <w:rFonts w:ascii="宋体" w:hAnsi="宋体" w:eastAsia="宋体" w:cs="宋体"/>
                <w:sz w:val="24"/>
                <w:highlight w:val="none"/>
              </w:rPr>
              <w:t xml:space="preserve">10</w:t>
            </w:r>
            <w:r>
              <w:rPr>
                <w:rFonts w:hint="eastAsia" w:ascii="宋体" w:hAnsi="宋体" w:eastAsia="宋体" w:cs="宋体"/>
                <w:sz w:val="24"/>
                <w:highlight w:val="none"/>
              </w:rPr>
              <w:t xml:space="preserve">个</w:t>
            </w:r>
            <w:r>
              <w:rPr>
                <w:rFonts w:ascii="宋体" w:hAnsi="宋体" w:eastAsia="宋体" w:cs="宋体"/>
                <w:sz w:val="24"/>
                <w:highlight w:val="none"/>
              </w:rPr>
              <w:t xml:space="preserve">USB</w:t>
            </w:r>
            <w:r>
              <w:rPr>
                <w:rFonts w:hint="eastAsia" w:ascii="宋体" w:hAnsi="宋体" w:eastAsia="宋体" w:cs="宋体"/>
                <w:sz w:val="24"/>
                <w:highlight w:val="none"/>
              </w:rPr>
              <w:t xml:space="preserve">接口，前置</w:t>
            </w:r>
            <w:r>
              <w:rPr>
                <w:rFonts w:ascii="宋体" w:hAnsi="宋体" w:eastAsia="宋体" w:cs="宋体"/>
                <w:sz w:val="24"/>
                <w:highlight w:val="none"/>
              </w:rPr>
              <w:t xml:space="preserve">4</w:t>
            </w:r>
            <w:r>
              <w:rPr>
                <w:rFonts w:hint="eastAsia" w:ascii="宋体" w:hAnsi="宋体" w:eastAsia="宋体" w:cs="宋体"/>
                <w:sz w:val="24"/>
                <w:highlight w:val="none"/>
              </w:rPr>
              <w:t xml:space="preserve">个</w:t>
            </w:r>
            <w:r>
              <w:rPr>
                <w:rFonts w:ascii="宋体" w:hAnsi="宋体" w:eastAsia="宋体" w:cs="宋体"/>
                <w:sz w:val="24"/>
                <w:highlight w:val="none"/>
              </w:rPr>
              <w:t xml:space="preserve">USB3.0</w:t>
            </w:r>
            <w:r>
              <w:rPr>
                <w:rFonts w:hint="eastAsia" w:ascii="宋体" w:hAnsi="宋体" w:eastAsia="宋体" w:cs="宋体"/>
                <w:sz w:val="24"/>
                <w:highlight w:val="none"/>
              </w:rPr>
              <w:t xml:space="preserve">，后置</w:t>
            </w:r>
            <w:r>
              <w:rPr>
                <w:rFonts w:ascii="宋体" w:hAnsi="宋体" w:eastAsia="宋体" w:cs="宋体"/>
                <w:sz w:val="24"/>
                <w:highlight w:val="none"/>
              </w:rPr>
              <w:t xml:space="preserve">2</w:t>
            </w:r>
            <w:r>
              <w:rPr>
                <w:rFonts w:hint="eastAsia" w:ascii="宋体" w:hAnsi="宋体" w:eastAsia="宋体" w:cs="宋体"/>
                <w:sz w:val="24"/>
                <w:highlight w:val="none"/>
              </w:rPr>
              <w:t xml:space="preserve">个</w:t>
            </w:r>
            <w:r>
              <w:rPr>
                <w:rFonts w:ascii="宋体" w:hAnsi="宋体" w:eastAsia="宋体" w:cs="宋体"/>
                <w:sz w:val="24"/>
                <w:highlight w:val="none"/>
              </w:rPr>
              <w:t xml:space="preserve">USB3.0</w:t>
            </w:r>
            <w:r>
              <w:rPr>
                <w:rFonts w:hint="eastAsia" w:ascii="宋体" w:hAnsi="宋体" w:eastAsia="宋体" w:cs="宋体"/>
                <w:sz w:val="24"/>
                <w:highlight w:val="none"/>
              </w:rPr>
              <w:t xml:space="preserve">和</w:t>
            </w:r>
            <w:r>
              <w:rPr>
                <w:rFonts w:ascii="宋体" w:hAnsi="宋体" w:eastAsia="宋体" w:cs="宋体"/>
                <w:sz w:val="24"/>
                <w:highlight w:val="none"/>
              </w:rPr>
              <w:t xml:space="preserve">4</w:t>
            </w:r>
            <w:r>
              <w:rPr>
                <w:rFonts w:hint="eastAsia" w:ascii="宋体" w:hAnsi="宋体" w:eastAsia="宋体" w:cs="宋体"/>
                <w:sz w:val="24"/>
                <w:highlight w:val="none"/>
              </w:rPr>
              <w:t xml:space="preserve">个</w:t>
            </w:r>
            <w:r>
              <w:rPr>
                <w:rFonts w:ascii="宋体" w:hAnsi="宋体" w:eastAsia="宋体" w:cs="宋体"/>
                <w:sz w:val="24"/>
                <w:highlight w:val="none"/>
              </w:rPr>
              <w:t xml:space="preserve">USB2.0</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个</w:t>
            </w:r>
            <w:r>
              <w:rPr>
                <w:rFonts w:ascii="宋体" w:hAnsi="宋体" w:eastAsia="宋体" w:cs="宋体"/>
                <w:sz w:val="24"/>
                <w:highlight w:val="none"/>
              </w:rPr>
              <w:t xml:space="preserve">HDMI</w:t>
            </w: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个</w:t>
            </w:r>
            <w:r>
              <w:rPr>
                <w:rFonts w:ascii="宋体" w:hAnsi="宋体" w:eastAsia="宋体" w:cs="宋体"/>
                <w:sz w:val="24"/>
                <w:highlight w:val="none"/>
              </w:rPr>
              <w:t xml:space="preserve">VGA</w:t>
            </w: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个</w:t>
            </w:r>
            <w:r>
              <w:rPr>
                <w:rFonts w:hint="eastAsia" w:ascii="宋体" w:hAnsi="宋体" w:eastAsia="宋体" w:cs="宋体"/>
                <w:sz w:val="24"/>
                <w:highlight w:val="none"/>
                <w:lang w:val="en-US" w:eastAsia="zh-CN"/>
              </w:rPr>
              <w:t xml:space="preserve">DP</w:t>
            </w: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个串口，前后</w:t>
            </w:r>
            <w:r>
              <w:rPr>
                <w:rFonts w:ascii="宋体" w:hAnsi="宋体" w:eastAsia="宋体" w:cs="宋体"/>
                <w:sz w:val="24"/>
                <w:highlight w:val="none"/>
              </w:rPr>
              <w:t xml:space="preserve">2</w:t>
            </w:r>
            <w:r>
              <w:rPr>
                <w:rFonts w:hint="eastAsia" w:ascii="宋体" w:hAnsi="宋体" w:eastAsia="宋体" w:cs="宋体"/>
                <w:sz w:val="24"/>
                <w:highlight w:val="none"/>
              </w:rPr>
              <w:t xml:space="preserve">组音频接口</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8.</w:t>
            </w:r>
            <w:r>
              <w:rPr>
                <w:rFonts w:hint="eastAsia" w:ascii="宋体" w:hAnsi="宋体" w:eastAsia="宋体" w:cs="宋体"/>
                <w:sz w:val="24"/>
                <w:highlight w:val="none"/>
              </w:rPr>
              <w:t xml:space="preserve">配置≥</w:t>
            </w:r>
            <w:r>
              <w:rPr>
                <w:rFonts w:ascii="宋体" w:hAnsi="宋体" w:eastAsia="宋体" w:cs="宋体"/>
                <w:sz w:val="24"/>
                <w:highlight w:val="none"/>
              </w:rPr>
              <w:t xml:space="preserve">600W</w:t>
            </w:r>
            <w:r>
              <w:rPr>
                <w:rFonts w:hint="eastAsia" w:ascii="宋体" w:hAnsi="宋体" w:eastAsia="宋体" w:cs="宋体"/>
                <w:sz w:val="24"/>
                <w:highlight w:val="none"/>
              </w:rPr>
              <w:t xml:space="preserve">静音电源；</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9.</w:t>
            </w:r>
            <w:r>
              <w:rPr>
                <w:rFonts w:hint="eastAsia" w:ascii="宋体" w:hAnsi="宋体" w:eastAsia="宋体" w:cs="宋体"/>
                <w:sz w:val="24"/>
                <w:highlight w:val="none"/>
              </w:rPr>
              <w:t xml:space="preserve">含显示器、键盘</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ascii="宋体" w:hAnsi="宋体" w:eastAsia="宋体" w:cs="宋体"/>
                <w:sz w:val="24"/>
                <w:highlight w:val="none"/>
              </w:rPr>
              <w:t xml:space="preserve">10.</w:t>
            </w:r>
            <w:r>
              <w:rPr>
                <w:rFonts w:hint="eastAsia" w:ascii="宋体" w:hAnsi="宋体" w:eastAsia="宋体" w:cs="宋体"/>
                <w:sz w:val="24"/>
                <w:highlight w:val="none"/>
              </w:rPr>
              <w:t xml:space="preserve">通过</w:t>
            </w:r>
            <w:r>
              <w:rPr>
                <w:rFonts w:ascii="宋体" w:hAnsi="宋体" w:eastAsia="宋体" w:cs="宋体"/>
                <w:sz w:val="24"/>
                <w:highlight w:val="none"/>
              </w:rPr>
              <w:t xml:space="preserve">3C</w:t>
            </w:r>
            <w:r>
              <w:rPr>
                <w:rFonts w:hint="eastAsia" w:ascii="宋体" w:hAnsi="宋体" w:eastAsia="宋体" w:cs="宋体"/>
                <w:sz w:val="24"/>
                <w:highlight w:val="none"/>
              </w:rPr>
              <w:t xml:space="preserve">认证、节能认证。</w:t>
            </w:r>
            <w:r>
              <w:rPr>
                <w:rFonts w:hint="eastAsia" w:ascii="宋体" w:hAnsi="宋体" w:eastAsia="宋体" w:cs="宋体"/>
                <w:sz w:val="24"/>
                <w:highlight w:val="none"/>
                <w:lang w:eastAsia="zh-CN"/>
              </w:rPr>
            </w:r>
            <w:r/>
          </w:p>
        </w:tc>
      </w:tr>
      <w:tr>
        <w:trPr>
          <w:trHeight w:val="341"/>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入侵检测系统</w:t>
            </w:r>
            <w:r>
              <w:rPr>
                <w:rFonts w:hint="eastAsia" w:ascii="宋体" w:hAnsi="宋体" w:eastAsia="宋体" w:cs="宋体"/>
                <w:sz w:val="24"/>
                <w:highlight w:val="none"/>
              </w:rPr>
            </w:r>
            <w:r/>
          </w:p>
        </w:tc>
        <w:tc>
          <w:tcPr>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5022" w:type="dxa"/>
            <w:vAlign w:val="center"/>
            <w:textDirection w:val="lrTb"/>
            <w:noWrap w:val="false"/>
          </w:tcPr>
          <w:p>
            <w:pPr>
              <w:pStyle w:val="737"/>
              <w:widowControl/>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、国产化</w:t>
            </w:r>
            <w:r>
              <w:rPr>
                <w:rFonts w:ascii="宋体" w:hAnsi="宋体" w:eastAsia="宋体" w:cs="宋体"/>
                <w:sz w:val="24"/>
                <w:highlight w:val="none"/>
              </w:rPr>
              <w:t xml:space="preserve">CPU</w:t>
            </w:r>
            <w:r>
              <w:rPr>
                <w:rFonts w:hint="eastAsia" w:ascii="宋体" w:hAnsi="宋体" w:eastAsia="宋体" w:cs="宋体"/>
                <w:sz w:val="24"/>
                <w:highlight w:val="none"/>
              </w:rPr>
              <w:t xml:space="preserve">，国产化操作系统；</w:t>
            </w:r>
            <w:r>
              <w:rPr>
                <w:rFonts w:ascii="宋体" w:hAnsi="宋体" w:eastAsia="宋体" w:cs="宋体"/>
                <w:sz w:val="24"/>
                <w:highlight w:val="none"/>
              </w:rPr>
              <w:t xml:space="preserve">2U</w:t>
            </w:r>
            <w:r>
              <w:rPr>
                <w:rFonts w:hint="eastAsia" w:ascii="宋体" w:hAnsi="宋体" w:eastAsia="宋体" w:cs="宋体"/>
                <w:sz w:val="24"/>
                <w:highlight w:val="none"/>
              </w:rPr>
              <w:t xml:space="preserve">标准机架设备，冗余电源，设备配置千兆电口≥</w:t>
            </w:r>
            <w:r>
              <w:rPr>
                <w:rFonts w:ascii="宋体" w:hAnsi="宋体" w:eastAsia="宋体" w:cs="宋体"/>
                <w:sz w:val="24"/>
                <w:highlight w:val="none"/>
              </w:rPr>
              <w:t xml:space="preserve">6</w:t>
            </w:r>
            <w:r>
              <w:rPr>
                <w:rFonts w:hint="eastAsia" w:ascii="宋体" w:hAnsi="宋体" w:eastAsia="宋体" w:cs="宋体"/>
                <w:sz w:val="24"/>
                <w:highlight w:val="none"/>
              </w:rPr>
              <w:t xml:space="preserve">个、千兆光口≥</w:t>
            </w:r>
            <w:r>
              <w:rPr>
                <w:rFonts w:ascii="宋体" w:hAnsi="宋体" w:eastAsia="宋体" w:cs="宋体"/>
                <w:sz w:val="24"/>
                <w:highlight w:val="none"/>
              </w:rPr>
              <w:t xml:space="preserve">4</w:t>
            </w:r>
            <w:r>
              <w:rPr>
                <w:rFonts w:hint="eastAsia" w:ascii="宋体" w:hAnsi="宋体" w:eastAsia="宋体" w:cs="宋体"/>
                <w:sz w:val="24"/>
                <w:highlight w:val="none"/>
              </w:rPr>
              <w:t xml:space="preserve">个、U</w:t>
            </w:r>
            <w:r>
              <w:rPr>
                <w:rFonts w:ascii="宋体" w:hAnsi="宋体" w:eastAsia="宋体" w:cs="宋体"/>
                <w:sz w:val="24"/>
                <w:highlight w:val="none"/>
              </w:rPr>
              <w:t xml:space="preserve">SB</w:t>
            </w:r>
            <w:r>
              <w:rPr>
                <w:rFonts w:hint="eastAsia" w:ascii="宋体" w:hAnsi="宋体" w:eastAsia="宋体" w:cs="宋体"/>
                <w:sz w:val="24"/>
                <w:highlight w:val="none"/>
              </w:rPr>
              <w:t xml:space="preserve">接口≥1，内存≥</w:t>
            </w:r>
            <w:r>
              <w:rPr>
                <w:rFonts w:ascii="宋体" w:hAnsi="宋体" w:eastAsia="宋体" w:cs="宋体"/>
                <w:sz w:val="24"/>
                <w:highlight w:val="none"/>
              </w:rPr>
              <w:t xml:space="preserve">16G</w:t>
            </w:r>
            <w:r>
              <w:rPr>
                <w:rFonts w:hint="eastAsia" w:ascii="宋体" w:hAnsi="宋体" w:eastAsia="宋体" w:cs="宋体"/>
                <w:sz w:val="24"/>
                <w:highlight w:val="none"/>
              </w:rPr>
              <w:t xml:space="preserve">，硬盘≥</w:t>
            </w:r>
            <w:r>
              <w:rPr>
                <w:rFonts w:ascii="宋体" w:hAnsi="宋体" w:eastAsia="宋体" w:cs="宋体"/>
                <w:sz w:val="24"/>
                <w:highlight w:val="none"/>
              </w:rPr>
              <w:t xml:space="preserve">512G </w:t>
            </w:r>
            <w:r>
              <w:rPr>
                <w:rFonts w:hint="eastAsia" w:ascii="宋体" w:hAnsi="宋体" w:eastAsia="宋体" w:cs="宋体"/>
                <w:sz w:val="24"/>
                <w:highlight w:val="none"/>
              </w:rPr>
              <w:t xml:space="preserve">；检测能力≥</w:t>
            </w:r>
            <w:r>
              <w:rPr>
                <w:rFonts w:ascii="宋体" w:hAnsi="宋体" w:eastAsia="宋体" w:cs="宋体"/>
                <w:sz w:val="24"/>
                <w:highlight w:val="none"/>
              </w:rPr>
              <w:t xml:space="preserve">1Gbps</w:t>
            </w:r>
            <w:r>
              <w:rPr>
                <w:rFonts w:hint="eastAsia" w:ascii="宋体" w:hAnsi="宋体" w:eastAsia="宋体" w:cs="宋体"/>
                <w:sz w:val="24"/>
                <w:highlight w:val="none"/>
              </w:rPr>
              <w:t xml:space="preserve">，最大并发连接数≥</w:t>
            </w:r>
            <w:r>
              <w:rPr>
                <w:rFonts w:ascii="宋体" w:hAnsi="宋体" w:eastAsia="宋体" w:cs="宋体"/>
                <w:sz w:val="24"/>
                <w:highlight w:val="none"/>
              </w:rPr>
              <w:t xml:space="preserve">200</w:t>
            </w:r>
            <w:r>
              <w:rPr>
                <w:rFonts w:hint="eastAsia" w:ascii="宋体" w:hAnsi="宋体" w:eastAsia="宋体" w:cs="宋体"/>
                <w:sz w:val="24"/>
                <w:highlight w:val="none"/>
              </w:rPr>
              <w:t xml:space="preserve">万。此次配置三年威胁检测事件库升级服务。</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ascii="宋体" w:hAnsi="宋体" w:eastAsia="宋体" w:cs="宋体"/>
                <w:sz w:val="24"/>
                <w:highlight w:val="none"/>
              </w:rPr>
              <w:t xml:space="preserve">2</w:t>
            </w:r>
            <w:r>
              <w:rPr>
                <w:rFonts w:hint="eastAsia" w:ascii="宋体" w:hAnsi="宋体" w:eastAsia="宋体" w:cs="宋体"/>
                <w:sz w:val="24"/>
                <w:highlight w:val="none"/>
              </w:rPr>
              <w:t xml:space="preserve">、将风险、服务器状态等重点信息统计展示，包含风险事件趋势、当前流量统计、高危风险类别、服务器状态、威胁情报告警类型、攻击源区域排名等。且数据支持下钻查看详情</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、支持对检测的告警事件结合双向检测机制、原始数据包和研判模型进行深层次研判给出告警事件的攻击结果，至少包含的结果类型为：攻击尝试、攻击成功、正在利用；</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、基于</w:t>
            </w:r>
            <w:r>
              <w:rPr>
                <w:rFonts w:ascii="宋体" w:hAnsi="宋体" w:eastAsia="宋体" w:cs="宋体"/>
                <w:sz w:val="24"/>
                <w:highlight w:val="none"/>
              </w:rPr>
              <w:t xml:space="preserve">IDS</w:t>
            </w:r>
            <w:r>
              <w:rPr>
                <w:rFonts w:hint="eastAsia" w:ascii="宋体" w:hAnsi="宋体" w:eastAsia="宋体" w:cs="宋体"/>
                <w:sz w:val="24"/>
                <w:highlight w:val="none"/>
              </w:rPr>
              <w:t xml:space="preserve">规则检测基础上通过加载</w:t>
            </w:r>
            <w:r>
              <w:rPr>
                <w:rFonts w:ascii="宋体" w:hAnsi="宋体" w:eastAsia="宋体" w:cs="宋体"/>
                <w:sz w:val="24"/>
                <w:highlight w:val="none"/>
              </w:rPr>
              <w:t xml:space="preserve">600</w:t>
            </w:r>
            <w:r>
              <w:rPr>
                <w:rFonts w:hint="eastAsia" w:ascii="宋体" w:hAnsi="宋体" w:eastAsia="宋体" w:cs="宋体"/>
                <w:sz w:val="24"/>
                <w:highlight w:val="none"/>
              </w:rPr>
              <w:t xml:space="preserve">余条深度检测特定规则插件、深度检测通用规则等进行二次深度检测，可支持</w:t>
            </w:r>
            <w:r>
              <w:rPr>
                <w:rFonts w:ascii="宋体" w:hAnsi="宋体" w:eastAsia="宋体" w:cs="宋体"/>
                <w:sz w:val="24"/>
                <w:highlight w:val="none"/>
              </w:rPr>
              <w:t xml:space="preserve">Primeton</w:t>
            </w:r>
            <w:r>
              <w:rPr>
                <w:rFonts w:hint="eastAsia" w:ascii="宋体" w:hAnsi="宋体" w:eastAsia="宋体" w:cs="宋体"/>
                <w:sz w:val="24"/>
                <w:highlight w:val="none"/>
              </w:rPr>
              <w:t xml:space="preserve">插件、蚁剑插件、哥斯拉插件、冰蝎</w:t>
            </w:r>
            <w:r>
              <w:rPr>
                <w:rFonts w:ascii="宋体" w:hAnsi="宋体" w:eastAsia="宋体" w:cs="宋体"/>
                <w:sz w:val="24"/>
                <w:highlight w:val="none"/>
              </w:rPr>
              <w:t xml:space="preserve">3.0</w:t>
            </w:r>
            <w:r>
              <w:rPr>
                <w:rFonts w:hint="eastAsia" w:ascii="宋体" w:hAnsi="宋体" w:eastAsia="宋体" w:cs="宋体"/>
                <w:sz w:val="24"/>
                <w:highlight w:val="none"/>
              </w:rPr>
              <w:t xml:space="preserve">、冰蝎</w:t>
            </w:r>
            <w:r>
              <w:rPr>
                <w:rFonts w:ascii="宋体" w:hAnsi="宋体" w:eastAsia="宋体" w:cs="宋体"/>
                <w:sz w:val="24"/>
                <w:highlight w:val="none"/>
              </w:rPr>
              <w:t xml:space="preserve">4.0</w:t>
            </w:r>
            <w:r>
              <w:rPr>
                <w:rFonts w:hint="eastAsia" w:ascii="宋体" w:hAnsi="宋体" w:eastAsia="宋体" w:cs="宋体"/>
                <w:sz w:val="24"/>
                <w:highlight w:val="none"/>
              </w:rPr>
              <w:t xml:space="preserve">等检测能力；</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、基于网络全流量分析技术，对网络所有数据进行安全分析。通过对网络链路全流量采集、全数据分析，对网络异常行为有敏锐的感知能力，具备多维数据索引能力，能够对网络攻击进行定位与取证。</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、支持检测常见的</w:t>
            </w:r>
            <w:r>
              <w:rPr>
                <w:rFonts w:ascii="宋体" w:hAnsi="宋体" w:eastAsia="宋体" w:cs="宋体"/>
                <w:sz w:val="24"/>
                <w:highlight w:val="none"/>
              </w:rPr>
              <w:t xml:space="preserve">Web</w:t>
            </w:r>
            <w:r>
              <w:rPr>
                <w:rFonts w:hint="eastAsia" w:ascii="宋体" w:hAnsi="宋体" w:eastAsia="宋体" w:cs="宋体"/>
                <w:sz w:val="24"/>
                <w:highlight w:val="none"/>
              </w:rPr>
              <w:t xml:space="preserve">攻击，至少包含</w:t>
            </w:r>
            <w:r>
              <w:rPr>
                <w:rFonts w:ascii="宋体" w:hAnsi="宋体" w:eastAsia="宋体" w:cs="宋体"/>
                <w:sz w:val="24"/>
                <w:highlight w:val="none"/>
              </w:rPr>
              <w:t xml:space="preserve">Webshell</w:t>
            </w:r>
            <w:r>
              <w:rPr>
                <w:rFonts w:hint="eastAsia" w:ascii="宋体" w:hAnsi="宋体" w:eastAsia="宋体" w:cs="宋体"/>
                <w:sz w:val="24"/>
                <w:highlight w:val="none"/>
              </w:rPr>
              <w:t xml:space="preserve">请求、</w:t>
            </w:r>
            <w:r>
              <w:rPr>
                <w:rFonts w:ascii="宋体" w:hAnsi="宋体" w:eastAsia="宋体" w:cs="宋体"/>
                <w:sz w:val="24"/>
                <w:highlight w:val="none"/>
              </w:rPr>
              <w:t xml:space="preserve">XSS</w:t>
            </w:r>
            <w:r>
              <w:rPr>
                <w:rFonts w:hint="eastAsia" w:ascii="宋体" w:hAnsi="宋体" w:eastAsia="宋体" w:cs="宋体"/>
                <w:sz w:val="24"/>
                <w:highlight w:val="none"/>
              </w:rPr>
              <w:t xml:space="preserve">攻击、</w:t>
            </w:r>
            <w:r>
              <w:rPr>
                <w:rFonts w:ascii="宋体" w:hAnsi="宋体" w:eastAsia="宋体" w:cs="宋体"/>
                <w:sz w:val="24"/>
                <w:highlight w:val="none"/>
              </w:rPr>
              <w:t xml:space="preserve">SQL</w:t>
            </w:r>
            <w:r>
              <w:rPr>
                <w:rFonts w:hint="eastAsia" w:ascii="宋体" w:hAnsi="宋体" w:eastAsia="宋体" w:cs="宋体"/>
                <w:sz w:val="24"/>
                <w:highlight w:val="none"/>
              </w:rPr>
              <w:t xml:space="preserve">注入、</w:t>
            </w:r>
            <w:r>
              <w:rPr>
                <w:rFonts w:ascii="宋体" w:hAnsi="宋体" w:eastAsia="宋体" w:cs="宋体"/>
                <w:sz w:val="24"/>
                <w:highlight w:val="none"/>
              </w:rPr>
              <w:t xml:space="preserve">CSRF</w:t>
            </w:r>
            <w:r>
              <w:rPr>
                <w:rFonts w:hint="eastAsia" w:ascii="宋体" w:hAnsi="宋体" w:eastAsia="宋体" w:cs="宋体"/>
                <w:sz w:val="24"/>
                <w:highlight w:val="none"/>
              </w:rPr>
              <w:t xml:space="preserve">、远程代码执行等</w:t>
            </w:r>
            <w:r>
              <w:rPr>
                <w:rFonts w:ascii="宋体" w:hAnsi="宋体" w:eastAsia="宋体" w:cs="宋体"/>
                <w:sz w:val="24"/>
                <w:highlight w:val="none"/>
              </w:rPr>
              <w:t xml:space="preserve">web</w:t>
            </w:r>
            <w:r>
              <w:rPr>
                <w:rFonts w:hint="eastAsia" w:ascii="宋体" w:hAnsi="宋体" w:eastAsia="宋体" w:cs="宋体"/>
                <w:sz w:val="24"/>
                <w:highlight w:val="none"/>
              </w:rPr>
              <w:t xml:space="preserve">攻击。</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7</w:t>
            </w:r>
            <w:r>
              <w:rPr>
                <w:rFonts w:hint="eastAsia" w:ascii="宋体" w:hAnsi="宋体" w:eastAsia="宋体" w:cs="宋体"/>
                <w:sz w:val="24"/>
                <w:highlight w:val="none"/>
              </w:rPr>
              <w:t xml:space="preserve">、支持攻击链路可视化，一键溯源查看攻击全貌，将攻击者在网络中的活动路径、攻击过程以图形化方式完整地展示出来，且支持选择多条攻击链路并高亮显示，帮助用户更好理解攻击者行为；</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8</w:t>
            </w:r>
            <w:r>
              <w:rPr>
                <w:rFonts w:hint="eastAsia" w:ascii="宋体" w:hAnsi="宋体" w:eastAsia="宋体" w:cs="宋体"/>
                <w:sz w:val="24"/>
                <w:highlight w:val="none"/>
              </w:rPr>
              <w:t xml:space="preserve">、支持端口扫描、</w:t>
            </w:r>
            <w:r>
              <w:rPr>
                <w:rFonts w:ascii="宋体" w:hAnsi="宋体" w:eastAsia="宋体" w:cs="宋体"/>
                <w:sz w:val="24"/>
                <w:highlight w:val="none"/>
              </w:rPr>
              <w:t xml:space="preserve">IP</w:t>
            </w:r>
            <w:r>
              <w:rPr>
                <w:rFonts w:hint="eastAsia" w:ascii="宋体" w:hAnsi="宋体" w:eastAsia="宋体" w:cs="宋体"/>
                <w:sz w:val="24"/>
                <w:highlight w:val="none"/>
              </w:rPr>
              <w:t xml:space="preserve">扫描、</w:t>
            </w:r>
            <w:r>
              <w:rPr>
                <w:rFonts w:ascii="宋体" w:hAnsi="宋体" w:eastAsia="宋体" w:cs="宋体"/>
                <w:sz w:val="24"/>
                <w:highlight w:val="none"/>
              </w:rPr>
              <w:t xml:space="preserve">Web</w:t>
            </w:r>
            <w:r>
              <w:rPr>
                <w:rFonts w:hint="eastAsia" w:ascii="宋体" w:hAnsi="宋体" w:eastAsia="宋体" w:cs="宋体"/>
                <w:sz w:val="24"/>
                <w:highlight w:val="none"/>
              </w:rPr>
              <w:t xml:space="preserve">扫描、扫描器指纹检测等扫描探查检测规则。</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9</w:t>
            </w:r>
            <w:r>
              <w:rPr>
                <w:rFonts w:hint="eastAsia" w:ascii="宋体" w:hAnsi="宋体" w:eastAsia="宋体" w:cs="宋体"/>
                <w:sz w:val="24"/>
                <w:highlight w:val="none"/>
              </w:rPr>
              <w:t xml:space="preserve">、支持违规外联分析场景，通过自学习模型分析违规互联数据，并进行实时告警，可自定义白名单自学习时间。</w:t>
            </w:r>
            <w:r>
              <w:rPr>
                <w:rFonts w:ascii="宋体" w:hAnsi="宋体" w:eastAsia="宋体" w:cs="宋体"/>
                <w:sz w:val="24"/>
                <w:highlight w:val="none"/>
              </w:rPr>
            </w:r>
            <w:r/>
          </w:p>
          <w:p>
            <w:pPr>
              <w:pStyle w:val="737"/>
              <w:widowControl/>
              <w:rPr>
                <w:rFonts w:hint="eastAsia" w:ascii="宋体" w:hAnsi="宋体" w:eastAsia="宋体" w:cs="宋体"/>
                <w:sz w:val="24"/>
                <w:highlight w:val="none"/>
              </w:rPr>
            </w:pPr>
            <w:r>
              <w:rPr>
                <w:rFonts w:ascii="宋体" w:hAnsi="宋体" w:eastAsia="宋体" w:cs="宋体"/>
                <w:sz w:val="24"/>
                <w:highlight w:val="none"/>
              </w:rPr>
              <w:t xml:space="preserve">10</w:t>
            </w:r>
            <w:r>
              <w:rPr>
                <w:rFonts w:hint="eastAsia" w:ascii="宋体" w:hAnsi="宋体" w:eastAsia="宋体" w:cs="宋体"/>
                <w:sz w:val="24"/>
                <w:highlight w:val="none"/>
              </w:rPr>
              <w:t xml:space="preserve">、产品具有网络关键设备和网络安全专用产品安全认证证书。</w:t>
            </w:r>
            <w:r>
              <w:rPr>
                <w:rFonts w:hint="eastAsia" w:ascii="宋体" w:hAnsi="宋体" w:eastAsia="宋体" w:cs="宋体"/>
                <w:sz w:val="24"/>
                <w:highlight w:val="none"/>
              </w:rPr>
            </w:r>
            <w:r/>
          </w:p>
        </w:tc>
      </w:tr>
      <w:tr>
        <w:trPr>
          <w:trHeight w:val="838"/>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身份鉴别系统</w:t>
            </w:r>
            <w:r>
              <w:rPr>
                <w:rFonts w:hint="eastAsia" w:ascii="宋体" w:hAnsi="宋体" w:eastAsia="宋体" w:cs="宋体"/>
                <w:sz w:val="24"/>
                <w:highlight w:val="none"/>
              </w:rPr>
            </w:r>
            <w:r/>
          </w:p>
        </w:tc>
        <w:tc>
          <w:tcPr>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5022" w:type="dxa"/>
            <w:vAlign w:val="center"/>
            <w:textDirection w:val="lrTb"/>
            <w:noWrap w:val="false"/>
          </w:tcPr>
          <w:p>
            <w:pPr>
              <w:pStyle w:val="737"/>
              <w:widowControl/>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、国产化</w:t>
            </w:r>
            <w:r>
              <w:rPr>
                <w:rFonts w:ascii="宋体" w:hAnsi="宋体" w:eastAsia="宋体" w:cs="宋体"/>
                <w:sz w:val="24"/>
                <w:highlight w:val="none"/>
              </w:rPr>
              <w:t xml:space="preserve">CPU</w:t>
            </w:r>
            <w:r>
              <w:rPr>
                <w:rFonts w:hint="eastAsia" w:ascii="宋体" w:hAnsi="宋体" w:eastAsia="宋体" w:cs="宋体"/>
                <w:sz w:val="24"/>
                <w:highlight w:val="none"/>
              </w:rPr>
              <w:t xml:space="preserve">，国产化操作系统；</w:t>
            </w:r>
            <w:r>
              <w:rPr>
                <w:rFonts w:ascii="宋体" w:hAnsi="宋体" w:eastAsia="宋体" w:cs="宋体"/>
                <w:sz w:val="24"/>
                <w:highlight w:val="none"/>
              </w:rPr>
              <w:t xml:space="preserve">2U</w:t>
            </w:r>
            <w:r>
              <w:rPr>
                <w:rFonts w:hint="eastAsia" w:ascii="宋体" w:hAnsi="宋体" w:eastAsia="宋体" w:cs="宋体"/>
                <w:sz w:val="24"/>
                <w:highlight w:val="none"/>
              </w:rPr>
              <w:t xml:space="preserve">标准机架设备，双电源；设备配置千兆电口≥</w:t>
            </w:r>
            <w:r>
              <w:rPr>
                <w:rFonts w:ascii="宋体" w:hAnsi="宋体" w:eastAsia="宋体" w:cs="宋体"/>
                <w:sz w:val="24"/>
                <w:highlight w:val="none"/>
              </w:rPr>
              <w:t xml:space="preserve">6</w:t>
            </w:r>
            <w:r>
              <w:rPr>
                <w:rFonts w:hint="eastAsia" w:ascii="宋体" w:hAnsi="宋体" w:eastAsia="宋体" w:cs="宋体"/>
                <w:sz w:val="24"/>
                <w:highlight w:val="none"/>
              </w:rPr>
              <w:t xml:space="preserve">，千兆光口插槽≥</w:t>
            </w:r>
            <w:r>
              <w:rPr>
                <w:rFonts w:ascii="宋体" w:hAnsi="宋体" w:eastAsia="宋体" w:cs="宋体"/>
                <w:sz w:val="24"/>
                <w:highlight w:val="none"/>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个</w:t>
            </w:r>
            <w:r>
              <w:rPr>
                <w:rFonts w:ascii="宋体" w:hAnsi="宋体" w:eastAsia="宋体" w:cs="宋体"/>
                <w:sz w:val="24"/>
                <w:highlight w:val="none"/>
              </w:rPr>
              <w:t xml:space="preserve">Console</w:t>
            </w:r>
            <w:r>
              <w:rPr>
                <w:rFonts w:hint="eastAsia" w:ascii="宋体" w:hAnsi="宋体" w:eastAsia="宋体" w:cs="宋体"/>
                <w:sz w:val="24"/>
                <w:highlight w:val="none"/>
              </w:rPr>
              <w:t xml:space="preserve">管理口，满足上述配置后剩余扩展槽位≥</w:t>
            </w:r>
            <w:r>
              <w:rPr>
                <w:rFonts w:ascii="宋体" w:hAnsi="宋体" w:eastAsia="宋体" w:cs="宋体"/>
                <w:sz w:val="24"/>
                <w:highlight w:val="none"/>
              </w:rPr>
              <w:t xml:space="preserve">3</w:t>
            </w:r>
            <w:r>
              <w:rPr>
                <w:rFonts w:hint="eastAsia" w:ascii="宋体" w:hAnsi="宋体" w:eastAsia="宋体" w:cs="宋体"/>
                <w:sz w:val="24"/>
                <w:highlight w:val="none"/>
              </w:rPr>
              <w:t xml:space="preserve">，可扩展万兆光口；内存≥</w:t>
            </w:r>
            <w:r>
              <w:rPr>
                <w:rFonts w:ascii="宋体" w:hAnsi="宋体" w:eastAsia="宋体" w:cs="宋体"/>
                <w:sz w:val="24"/>
                <w:highlight w:val="none"/>
              </w:rPr>
              <w:t xml:space="preserve">16G</w:t>
            </w:r>
            <w:r>
              <w:rPr>
                <w:rFonts w:hint="eastAsia" w:ascii="宋体" w:hAnsi="宋体" w:eastAsia="宋体" w:cs="宋体"/>
                <w:sz w:val="24"/>
                <w:highlight w:val="none"/>
              </w:rPr>
              <w:t xml:space="preserve">，硬盘≥</w:t>
            </w:r>
            <w:r>
              <w:rPr>
                <w:rFonts w:ascii="宋体" w:hAnsi="宋体" w:eastAsia="宋体" w:cs="宋体"/>
                <w:sz w:val="24"/>
                <w:highlight w:val="none"/>
              </w:rPr>
              <w:t xml:space="preserve">8T</w:t>
            </w:r>
            <w:r>
              <w:rPr>
                <w:rFonts w:hint="eastAsia" w:ascii="宋体" w:hAnsi="宋体" w:eastAsia="宋体" w:cs="宋体"/>
                <w:sz w:val="24"/>
                <w:highlight w:val="none"/>
              </w:rPr>
              <w:t xml:space="preserve">，带液晶面板，字符会话并发≥</w:t>
            </w:r>
            <w:r>
              <w:rPr>
                <w:rFonts w:ascii="宋体" w:hAnsi="宋体" w:eastAsia="宋体" w:cs="宋体"/>
                <w:sz w:val="24"/>
                <w:highlight w:val="none"/>
              </w:rPr>
              <w:t xml:space="preserve">1500</w:t>
            </w:r>
            <w:r>
              <w:rPr>
                <w:rFonts w:hint="eastAsia" w:ascii="宋体" w:hAnsi="宋体" w:eastAsia="宋体" w:cs="宋体"/>
                <w:sz w:val="24"/>
                <w:highlight w:val="none"/>
              </w:rPr>
              <w:t xml:space="preserve">，图形会话并发≥</w:t>
            </w:r>
            <w:r>
              <w:rPr>
                <w:rFonts w:ascii="宋体" w:hAnsi="宋体" w:eastAsia="宋体" w:cs="宋体"/>
                <w:sz w:val="24"/>
                <w:highlight w:val="none"/>
              </w:rPr>
              <w:t xml:space="preserve">400</w:t>
            </w:r>
            <w:r>
              <w:rPr>
                <w:rFonts w:hint="eastAsia" w:ascii="宋体" w:hAnsi="宋体" w:eastAsia="宋体" w:cs="宋体"/>
                <w:sz w:val="24"/>
                <w:highlight w:val="none"/>
              </w:rPr>
              <w:t xml:space="preserve">，此次配置硬件加密卡，</w:t>
            </w:r>
            <w:r>
              <w:rPr>
                <w:rFonts w:ascii="宋体" w:hAnsi="宋体" w:eastAsia="宋体" w:cs="宋体"/>
                <w:sz w:val="24"/>
                <w:highlight w:val="none"/>
              </w:rPr>
              <w:t xml:space="preserve">100</w:t>
            </w:r>
            <w:r>
              <w:rPr>
                <w:rFonts w:hint="eastAsia" w:ascii="宋体" w:hAnsi="宋体" w:eastAsia="宋体" w:cs="宋体"/>
                <w:sz w:val="24"/>
                <w:highlight w:val="none"/>
              </w:rPr>
              <w:t xml:space="preserve">个被管资源数授权。</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、物理旁路，逻辑串联模式，无需镜像、无需改造现有网络结构。</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、分权分域：支持管理员帐号设置双因认证、</w:t>
            </w:r>
            <w:r>
              <w:rPr>
                <w:rFonts w:ascii="宋体" w:hAnsi="宋体" w:eastAsia="宋体" w:cs="宋体"/>
                <w:sz w:val="24"/>
                <w:highlight w:val="none"/>
              </w:rPr>
              <w:t xml:space="preserve">IP/MAC</w:t>
            </w:r>
            <w:r>
              <w:rPr>
                <w:rFonts w:hint="eastAsia" w:ascii="宋体" w:hAnsi="宋体" w:eastAsia="宋体" w:cs="宋体"/>
                <w:sz w:val="24"/>
                <w:highlight w:val="none"/>
              </w:rPr>
              <w:t xml:space="preserve">限制，提升帐号安全性。</w:t>
            </w:r>
            <w:r>
              <w:rPr>
                <w:rFonts w:ascii="宋体" w:hAnsi="宋体" w:eastAsia="宋体" w:cs="宋体"/>
                <w:sz w:val="24"/>
                <w:highlight w:val="none"/>
              </w:rPr>
            </w:r>
            <w:r/>
          </w:p>
          <w:p>
            <w:pPr>
              <w:pStyle w:val="737"/>
              <w:jc w:val="left"/>
              <w:widowControl/>
              <w:rPr>
                <w:rFonts w:hint="eastAsia"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、帐号托管：支持数据库协议自动改密，改密类型支持：</w:t>
            </w:r>
            <w:r>
              <w:rPr>
                <w:rFonts w:ascii="宋体" w:hAnsi="宋体" w:eastAsia="宋体" w:cs="宋体"/>
                <w:sz w:val="24"/>
                <w:highlight w:val="none"/>
              </w:rPr>
              <w:t xml:space="preserve">Oracle</w:t>
            </w:r>
            <w:r>
              <w:rPr>
                <w:rFonts w:hint="eastAsia" w:ascii="宋体" w:hAnsi="宋体" w:eastAsia="宋体" w:cs="宋体"/>
                <w:sz w:val="24"/>
                <w:highlight w:val="none"/>
              </w:rPr>
              <w:t xml:space="preserve">、</w:t>
            </w:r>
            <w:r>
              <w:rPr>
                <w:rFonts w:ascii="宋体" w:hAnsi="宋体" w:eastAsia="宋体" w:cs="宋体"/>
                <w:sz w:val="24"/>
                <w:highlight w:val="none"/>
              </w:rPr>
              <w:t xml:space="preserve">PostgreSQL</w:t>
            </w:r>
            <w:r>
              <w:rPr>
                <w:rFonts w:hint="eastAsia" w:ascii="宋体" w:hAnsi="宋体" w:eastAsia="宋体" w:cs="宋体"/>
                <w:sz w:val="24"/>
                <w:highlight w:val="none"/>
              </w:rPr>
              <w:t xml:space="preserve">、</w:t>
            </w:r>
            <w:r>
              <w:rPr>
                <w:rFonts w:ascii="宋体" w:hAnsi="宋体" w:eastAsia="宋体" w:cs="宋体"/>
                <w:sz w:val="24"/>
                <w:highlight w:val="none"/>
              </w:rPr>
              <w:t xml:space="preserve">MySql</w:t>
            </w:r>
            <w:r>
              <w:rPr>
                <w:rFonts w:hint="eastAsia" w:ascii="宋体" w:hAnsi="宋体" w:eastAsia="宋体" w:cs="宋体"/>
                <w:sz w:val="24"/>
                <w:highlight w:val="none"/>
              </w:rPr>
              <w:t xml:space="preserve">、</w:t>
            </w:r>
            <w:r>
              <w:rPr>
                <w:rFonts w:ascii="宋体" w:hAnsi="宋体" w:eastAsia="宋体" w:cs="宋体"/>
                <w:sz w:val="24"/>
                <w:highlight w:val="none"/>
              </w:rPr>
              <w:t xml:space="preserve">DB2</w:t>
            </w:r>
            <w:r>
              <w:rPr>
                <w:rFonts w:hint="eastAsia" w:ascii="宋体" w:hAnsi="宋体" w:eastAsia="宋体" w:cs="宋体"/>
                <w:sz w:val="24"/>
                <w:highlight w:val="none"/>
              </w:rPr>
              <w:t xml:space="preserve">、</w:t>
            </w:r>
            <w:r>
              <w:rPr>
                <w:rFonts w:ascii="宋体" w:hAnsi="宋体" w:eastAsia="宋体" w:cs="宋体"/>
                <w:sz w:val="24"/>
                <w:highlight w:val="none"/>
              </w:rPr>
              <w:t xml:space="preserve">Informix </w:t>
            </w:r>
            <w:r>
              <w:rPr>
                <w:rFonts w:hint="eastAsia" w:ascii="宋体" w:hAnsi="宋体" w:eastAsia="宋体" w:cs="宋体"/>
                <w:sz w:val="24"/>
                <w:highlight w:val="none"/>
              </w:rPr>
              <w:t xml:space="preserve">、</w:t>
            </w:r>
            <w:r>
              <w:rPr>
                <w:rFonts w:ascii="宋体" w:hAnsi="宋体" w:eastAsia="宋体" w:cs="宋体"/>
                <w:sz w:val="24"/>
                <w:highlight w:val="none"/>
              </w:rPr>
              <w:t xml:space="preserve">SYBASE</w:t>
            </w:r>
            <w:r>
              <w:rPr>
                <w:rFonts w:hint="eastAsia" w:ascii="宋体" w:hAnsi="宋体" w:eastAsia="宋体" w:cs="宋体"/>
                <w:sz w:val="24"/>
                <w:highlight w:val="none"/>
              </w:rPr>
              <w:t xml:space="preserve">，</w:t>
            </w:r>
            <w:r>
              <w:rPr>
                <w:rFonts w:ascii="宋体" w:hAnsi="宋体" w:eastAsia="宋体" w:cs="宋体"/>
                <w:sz w:val="24"/>
                <w:highlight w:val="none"/>
              </w:rPr>
              <w:t xml:space="preserve">Mssql(2005,2008,2012)</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jc w:val="left"/>
              <w:widowControl/>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账号管理：支持僵尸、幽灵、孤儿帐号稽核功能，并可以导出异常账号稽核情况报告，方便管理员统计异常账号情况（提供第三方机构出具的包含“账号管理”功能的检测报告）。僵尸帐号：周期内登录次数低于</w:t>
            </w:r>
            <w:r>
              <w:rPr>
                <w:rFonts w:ascii="宋体" w:hAnsi="宋体" w:eastAsia="宋体" w:cs="宋体"/>
                <w:sz w:val="24"/>
                <w:highlight w:val="none"/>
              </w:rPr>
              <w:t xml:space="preserve">3</w:t>
            </w:r>
            <w:r>
              <w:rPr>
                <w:rFonts w:hint="eastAsia" w:ascii="宋体" w:hAnsi="宋体" w:eastAsia="宋体" w:cs="宋体"/>
                <w:sz w:val="24"/>
                <w:highlight w:val="none"/>
              </w:rPr>
              <w:t xml:space="preserve">次的用户帐号和资源帐号；幽灵帐户：堡垒机中未托管但又真实存在的的资源帐号；孤儿帐户：没有建立授权关系的用户帐号和资源帐号。</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、国产化工具运维：支持国产化终端调用本地工具运维，无需安装单独的客户端工具。</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7</w:t>
            </w:r>
            <w:r>
              <w:rPr>
                <w:rFonts w:hint="eastAsia" w:ascii="宋体" w:hAnsi="宋体" w:eastAsia="宋体" w:cs="宋体"/>
                <w:sz w:val="24"/>
                <w:highlight w:val="none"/>
              </w:rPr>
              <w:t xml:space="preserve">、国产化应用发布：支持通过国产化运维客户端登录。</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8</w:t>
            </w:r>
            <w:r>
              <w:rPr>
                <w:rFonts w:hint="eastAsia" w:ascii="宋体" w:hAnsi="宋体" w:eastAsia="宋体" w:cs="宋体"/>
                <w:sz w:val="24"/>
                <w:highlight w:val="none"/>
              </w:rPr>
              <w:t xml:space="preserve">、数据库运维动态脱敏：支持数据库运维动态脱敏，支持</w:t>
            </w:r>
            <w:r>
              <w:rPr>
                <w:rFonts w:ascii="宋体" w:hAnsi="宋体" w:eastAsia="宋体" w:cs="宋体"/>
                <w:sz w:val="24"/>
                <w:highlight w:val="none"/>
              </w:rPr>
              <w:t xml:space="preserve">MySQL</w:t>
            </w:r>
            <w:r>
              <w:rPr>
                <w:rFonts w:hint="eastAsia" w:ascii="宋体" w:hAnsi="宋体" w:eastAsia="宋体" w:cs="宋体"/>
                <w:sz w:val="24"/>
                <w:highlight w:val="none"/>
              </w:rPr>
              <w:t xml:space="preserve">、</w:t>
            </w:r>
            <w:r>
              <w:rPr>
                <w:rFonts w:ascii="宋体" w:hAnsi="宋体" w:eastAsia="宋体" w:cs="宋体"/>
                <w:sz w:val="24"/>
                <w:highlight w:val="none"/>
              </w:rPr>
              <w:t xml:space="preserve">Oracle</w:t>
            </w:r>
            <w:r>
              <w:rPr>
                <w:rFonts w:hint="eastAsia" w:ascii="宋体" w:hAnsi="宋体" w:eastAsia="宋体" w:cs="宋体"/>
                <w:sz w:val="24"/>
                <w:highlight w:val="none"/>
              </w:rPr>
              <w:t xml:space="preserve">、</w:t>
            </w:r>
            <w:r>
              <w:rPr>
                <w:rFonts w:ascii="宋体" w:hAnsi="宋体" w:eastAsia="宋体" w:cs="宋体"/>
                <w:sz w:val="24"/>
                <w:highlight w:val="none"/>
              </w:rPr>
              <w:t xml:space="preserve">MSSQL</w:t>
            </w:r>
            <w:r>
              <w:rPr>
                <w:rFonts w:hint="eastAsia" w:ascii="宋体" w:hAnsi="宋体" w:eastAsia="宋体" w:cs="宋体"/>
                <w:sz w:val="24"/>
                <w:highlight w:val="none"/>
              </w:rPr>
              <w:t xml:space="preserve">、</w:t>
            </w:r>
            <w:r>
              <w:rPr>
                <w:rFonts w:ascii="宋体" w:hAnsi="宋体" w:eastAsia="宋体" w:cs="宋体"/>
                <w:sz w:val="24"/>
                <w:highlight w:val="none"/>
              </w:rPr>
              <w:t xml:space="preserve">Postgresql</w:t>
            </w:r>
            <w:r>
              <w:rPr>
                <w:rFonts w:hint="eastAsia" w:ascii="宋体" w:hAnsi="宋体" w:eastAsia="宋体" w:cs="宋体"/>
                <w:sz w:val="24"/>
                <w:highlight w:val="none"/>
              </w:rPr>
              <w:t xml:space="preserve">、</w:t>
            </w:r>
            <w:r>
              <w:rPr>
                <w:rFonts w:ascii="宋体" w:hAnsi="宋体" w:eastAsia="宋体" w:cs="宋体"/>
                <w:sz w:val="24"/>
                <w:highlight w:val="none"/>
              </w:rPr>
              <w:t xml:space="preserve">DB2</w:t>
            </w:r>
            <w:r>
              <w:rPr>
                <w:rFonts w:hint="eastAsia" w:ascii="宋体" w:hAnsi="宋体" w:eastAsia="宋体" w:cs="宋体"/>
                <w:sz w:val="24"/>
                <w:highlight w:val="none"/>
              </w:rPr>
              <w:t xml:space="preserve">、</w:t>
            </w:r>
            <w:r>
              <w:rPr>
                <w:rFonts w:ascii="宋体" w:hAnsi="宋体" w:eastAsia="宋体" w:cs="宋体"/>
                <w:sz w:val="24"/>
                <w:highlight w:val="none"/>
              </w:rPr>
              <w:t xml:space="preserve">Sybase 6</w:t>
            </w:r>
            <w:r>
              <w:rPr>
                <w:rFonts w:hint="eastAsia" w:ascii="宋体" w:hAnsi="宋体" w:eastAsia="宋体" w:cs="宋体"/>
                <w:sz w:val="24"/>
                <w:highlight w:val="none"/>
              </w:rPr>
              <w:t xml:space="preserve">种数据库。</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9</w:t>
            </w:r>
            <w:r>
              <w:rPr>
                <w:rFonts w:hint="eastAsia" w:ascii="宋体" w:hAnsi="宋体" w:eastAsia="宋体" w:cs="宋体"/>
                <w:sz w:val="24"/>
                <w:highlight w:val="none"/>
              </w:rPr>
              <w:t xml:space="preserve">、实时监控：支持会话监控切换展示风格，可将同一用户的在线会话进行合并到一个列表，方便审计员进行审计。</w:t>
            </w:r>
            <w:r>
              <w:rPr>
                <w:rFonts w:ascii="宋体" w:hAnsi="宋体" w:eastAsia="宋体" w:cs="宋体"/>
                <w:sz w:val="24"/>
                <w:highlight w:val="none"/>
              </w:rPr>
            </w:r>
            <w:r/>
          </w:p>
          <w:p>
            <w:pPr>
              <w:pStyle w:val="737"/>
              <w:widowControl/>
              <w:rPr>
                <w:rFonts w:hint="eastAsia" w:ascii="宋体" w:hAnsi="宋体" w:eastAsia="宋体" w:cs="宋体"/>
                <w:sz w:val="24"/>
                <w:highlight w:val="none"/>
              </w:rPr>
            </w:pPr>
            <w:r>
              <w:rPr>
                <w:rFonts w:ascii="宋体" w:hAnsi="宋体" w:eastAsia="宋体" w:cs="宋体"/>
                <w:sz w:val="24"/>
                <w:highlight w:val="none"/>
              </w:rPr>
              <w:t xml:space="preserve">10</w:t>
            </w:r>
            <w:r>
              <w:rPr>
                <w:rFonts w:hint="eastAsia" w:ascii="宋体" w:hAnsi="宋体" w:eastAsia="宋体" w:cs="宋体"/>
                <w:sz w:val="24"/>
                <w:highlight w:val="none"/>
              </w:rPr>
              <w:t xml:space="preserve">、运维屏幕水印：支持通过国产化与非国产化应用发布开启运维屏幕水印，运维本地无法篡改水印内容，震慑不规范的运维行为，提升运维过程数据安全性。</w:t>
            </w:r>
            <w:r>
              <w:rPr>
                <w:rFonts w:hint="eastAsia" w:ascii="宋体" w:hAnsi="宋体" w:eastAsia="宋体" w:cs="宋体"/>
                <w:sz w:val="24"/>
                <w:highlight w:val="none"/>
              </w:rPr>
            </w:r>
            <w:r/>
          </w:p>
        </w:tc>
      </w:tr>
      <w:tr>
        <w:trPr>
          <w:trHeight w:val="2081"/>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终端检测与响应系统</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、产品配置集中控制台，国产化服务器端授权≥</w:t>
            </w:r>
            <w:r>
              <w:rPr>
                <w:rFonts w:ascii="宋体" w:hAnsi="宋体" w:eastAsia="宋体" w:cs="宋体"/>
                <w:sz w:val="24"/>
                <w:highlight w:val="none"/>
              </w:rPr>
              <w:t xml:space="preserve">20</w:t>
            </w:r>
            <w:r>
              <w:rPr>
                <w:rFonts w:hint="eastAsia" w:ascii="宋体" w:hAnsi="宋体" w:eastAsia="宋体" w:cs="宋体"/>
                <w:sz w:val="24"/>
                <w:highlight w:val="none"/>
              </w:rPr>
              <w:t xml:space="preserve">个；此次配置三年软件升级和病毒库升级授权；支持在欧拉及国产化系统中安装，采用</w:t>
            </w:r>
            <w:r>
              <w:rPr>
                <w:rFonts w:ascii="宋体" w:hAnsi="宋体" w:eastAsia="宋体" w:cs="宋体"/>
                <w:sz w:val="24"/>
                <w:highlight w:val="none"/>
              </w:rPr>
              <w:t xml:space="preserve">Web</w:t>
            </w:r>
            <w:r>
              <w:rPr>
                <w:rFonts w:hint="eastAsia" w:ascii="宋体" w:hAnsi="宋体" w:eastAsia="宋体" w:cs="宋体"/>
                <w:sz w:val="24"/>
                <w:highlight w:val="none"/>
              </w:rPr>
              <w:t xml:space="preserve">方式进行管理，具有资产管理、运维管理、病毒查杀、外设管理、非法外联监控、网络管理、终端响应、日志管理等功能。</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ascii="宋体" w:hAnsi="宋体" w:eastAsia="宋体" w:cs="宋体"/>
                <w:sz w:val="24"/>
                <w:highlight w:val="none"/>
              </w:rPr>
              <w:t xml:space="preserve">2</w:t>
            </w:r>
            <w:r>
              <w:rPr>
                <w:rFonts w:hint="eastAsia" w:ascii="宋体" w:hAnsi="宋体" w:eastAsia="宋体" w:cs="宋体"/>
                <w:sz w:val="24"/>
                <w:highlight w:val="none"/>
              </w:rPr>
              <w:t xml:space="preserve">、威胁态势感知：支持威胁态势感知和资产态势，统计并展示威胁告警统计、攻击阶段统计、威胁等级统计、最新告警、终端威胁态势、行为基线告警种类</w:t>
            </w:r>
            <w:r>
              <w:rPr>
                <w:rFonts w:ascii="宋体" w:hAnsi="宋体" w:eastAsia="宋体" w:cs="宋体"/>
                <w:sz w:val="24"/>
                <w:highlight w:val="none"/>
              </w:rPr>
              <w:t xml:space="preserve">TOP5</w:t>
            </w:r>
            <w:r>
              <w:rPr>
                <w:rFonts w:hint="eastAsia" w:ascii="宋体" w:hAnsi="宋体" w:eastAsia="宋体" w:cs="宋体"/>
                <w:sz w:val="24"/>
                <w:highlight w:val="none"/>
              </w:rPr>
              <w:t xml:space="preserve">、终端威胁告警</w:t>
            </w:r>
            <w:r>
              <w:rPr>
                <w:rFonts w:ascii="宋体" w:hAnsi="宋体" w:eastAsia="宋体" w:cs="宋体"/>
                <w:sz w:val="24"/>
                <w:highlight w:val="none"/>
              </w:rPr>
              <w:t xml:space="preserve">TOP5</w:t>
            </w:r>
            <w:r>
              <w:rPr>
                <w:rFonts w:hint="eastAsia" w:ascii="宋体" w:hAnsi="宋体" w:eastAsia="宋体" w:cs="宋体"/>
                <w:sz w:val="24"/>
                <w:highlight w:val="none"/>
              </w:rPr>
              <w:t xml:space="preserve">、漏洞</w:t>
            </w:r>
            <w:r>
              <w:rPr>
                <w:rFonts w:ascii="宋体" w:hAnsi="宋体" w:eastAsia="宋体" w:cs="宋体"/>
                <w:sz w:val="24"/>
                <w:highlight w:val="none"/>
              </w:rPr>
              <w:t xml:space="preserve">TOP5</w:t>
            </w:r>
            <w:r>
              <w:rPr>
                <w:rFonts w:hint="eastAsia" w:ascii="宋体" w:hAnsi="宋体" w:eastAsia="宋体" w:cs="宋体"/>
                <w:sz w:val="24"/>
                <w:highlight w:val="none"/>
              </w:rPr>
              <w:t xml:space="preserve">等信息</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、资产管理：资产运维、资产清点，资产发现等。终端运维至少包括对终端进行关闭、重启、锁屏、结束进程、断开网络、远程协助等操作；资产清点至少包括数据库、中间件、环境变量、内核模块、共享目录、</w:t>
            </w:r>
            <w:r>
              <w:rPr>
                <w:rFonts w:ascii="宋体" w:hAnsi="宋体" w:eastAsia="宋体" w:cs="宋体"/>
                <w:sz w:val="24"/>
                <w:highlight w:val="none"/>
              </w:rPr>
              <w:t xml:space="preserve">Web</w:t>
            </w:r>
            <w:r>
              <w:rPr>
                <w:rFonts w:hint="eastAsia" w:ascii="宋体" w:hAnsi="宋体" w:eastAsia="宋体" w:cs="宋体"/>
                <w:sz w:val="24"/>
                <w:highlight w:val="none"/>
              </w:rPr>
              <w:t xml:space="preserve">应用、</w:t>
            </w:r>
            <w:r>
              <w:rPr>
                <w:rFonts w:ascii="宋体" w:hAnsi="宋体" w:eastAsia="宋体" w:cs="宋体"/>
                <w:sz w:val="24"/>
                <w:highlight w:val="none"/>
              </w:rPr>
              <w:t xml:space="preserve">Web</w:t>
            </w:r>
            <w:r>
              <w:rPr>
                <w:rFonts w:hint="eastAsia" w:ascii="宋体" w:hAnsi="宋体" w:eastAsia="宋体" w:cs="宋体"/>
                <w:sz w:val="24"/>
                <w:highlight w:val="none"/>
              </w:rPr>
              <w:t xml:space="preserve">站点、安装包、证书等资产信息；资产发现需支持通过</w:t>
            </w:r>
            <w:r>
              <w:rPr>
                <w:rFonts w:ascii="宋体" w:hAnsi="宋体" w:eastAsia="宋体" w:cs="宋体"/>
                <w:sz w:val="24"/>
                <w:highlight w:val="none"/>
              </w:rPr>
              <w:t xml:space="preserve">ARP</w:t>
            </w:r>
            <w:r>
              <w:rPr>
                <w:rFonts w:hint="eastAsia" w:ascii="宋体" w:hAnsi="宋体" w:eastAsia="宋体" w:cs="宋体"/>
                <w:sz w:val="24"/>
                <w:highlight w:val="none"/>
              </w:rPr>
              <w:t xml:space="preserve">、</w:t>
            </w:r>
            <w:r>
              <w:rPr>
                <w:rFonts w:ascii="宋体" w:hAnsi="宋体" w:eastAsia="宋体" w:cs="宋体"/>
                <w:sz w:val="24"/>
                <w:highlight w:val="none"/>
              </w:rPr>
              <w:t xml:space="preserve">PING</w:t>
            </w:r>
            <w:r>
              <w:rPr>
                <w:rFonts w:hint="eastAsia" w:ascii="宋体" w:hAnsi="宋体" w:eastAsia="宋体" w:cs="宋体"/>
                <w:sz w:val="24"/>
                <w:highlight w:val="none"/>
              </w:rPr>
              <w:t xml:space="preserve">、</w:t>
            </w:r>
            <w:r>
              <w:rPr>
                <w:rFonts w:ascii="宋体" w:hAnsi="宋体" w:eastAsia="宋体" w:cs="宋体"/>
                <w:sz w:val="24"/>
                <w:highlight w:val="none"/>
              </w:rPr>
              <w:t xml:space="preserve">NMAP</w:t>
            </w:r>
            <w:r>
              <w:rPr>
                <w:rFonts w:hint="eastAsia" w:ascii="宋体" w:hAnsi="宋体" w:eastAsia="宋体" w:cs="宋体"/>
                <w:sz w:val="24"/>
                <w:highlight w:val="none"/>
              </w:rPr>
              <w:t xml:space="preserve">三种方式发现未安装客户端的资产。</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、弱口令检查：包含系统弱密码和应用弱密码，并且检测结果支持弱密码类型分类，类别应至少包括密码长度小于</w:t>
            </w:r>
            <w:r>
              <w:rPr>
                <w:rFonts w:ascii="宋体" w:hAnsi="宋体" w:eastAsia="宋体" w:cs="宋体"/>
                <w:sz w:val="24"/>
                <w:highlight w:val="none"/>
              </w:rPr>
              <w:t xml:space="preserve">8</w:t>
            </w:r>
            <w:r>
              <w:rPr>
                <w:rFonts w:hint="eastAsia" w:ascii="宋体" w:hAnsi="宋体" w:eastAsia="宋体" w:cs="宋体"/>
                <w:sz w:val="24"/>
                <w:highlight w:val="none"/>
              </w:rPr>
              <w:t xml:space="preserve">、字符种类小于</w:t>
            </w:r>
            <w:r>
              <w:rPr>
                <w:rFonts w:ascii="宋体" w:hAnsi="宋体" w:eastAsia="宋体" w:cs="宋体"/>
                <w:sz w:val="24"/>
                <w:highlight w:val="none"/>
              </w:rPr>
              <w:t xml:space="preserve">3</w:t>
            </w:r>
            <w:r>
              <w:rPr>
                <w:rFonts w:hint="eastAsia" w:ascii="宋体" w:hAnsi="宋体" w:eastAsia="宋体" w:cs="宋体"/>
                <w:sz w:val="24"/>
                <w:highlight w:val="none"/>
              </w:rPr>
              <w:t xml:space="preserve">、空密码、账号密码相同、可疑高权限等。</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、风险评估：具备对全网资产进行一键风险评估的能力，可一键完成漏洞风险、合规检查、弱密码检查、病毒查杀、</w:t>
            </w:r>
            <w:r>
              <w:rPr>
                <w:rFonts w:ascii="宋体" w:hAnsi="宋体" w:eastAsia="宋体" w:cs="宋体"/>
                <w:sz w:val="24"/>
                <w:highlight w:val="none"/>
              </w:rPr>
              <w:t xml:space="preserve">Webshell</w:t>
            </w:r>
            <w:r>
              <w:rPr>
                <w:rFonts w:hint="eastAsia" w:ascii="宋体" w:hAnsi="宋体" w:eastAsia="宋体" w:cs="宋体"/>
                <w:sz w:val="24"/>
                <w:highlight w:val="none"/>
              </w:rPr>
              <w:t xml:space="preserve">检测、内存马检测、反弹</w:t>
            </w:r>
            <w:r>
              <w:rPr>
                <w:rFonts w:ascii="宋体" w:hAnsi="宋体" w:eastAsia="宋体" w:cs="宋体"/>
                <w:sz w:val="24"/>
                <w:highlight w:val="none"/>
              </w:rPr>
              <w:t xml:space="preserve">shell</w:t>
            </w:r>
            <w:r>
              <w:rPr>
                <w:rFonts w:hint="eastAsia" w:ascii="宋体" w:hAnsi="宋体" w:eastAsia="宋体" w:cs="宋体"/>
                <w:sz w:val="24"/>
                <w:highlight w:val="none"/>
              </w:rPr>
              <w:t xml:space="preserve">等体检项目，并根据终端威胁风险情况进行失陷终端分析、勒索风险评估、全网威胁统计、泄露防护统计等，全网威胁统计内容至少包括攻击源分析和受攻击资产分析等。</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、安全审计：</w:t>
            </w:r>
            <w:r>
              <w:rPr>
                <w:rFonts w:hint="eastAsia" w:ascii="宋体" w:hAnsi="宋体" w:eastAsia="宋体" w:cs="宋体"/>
                <w:sz w:val="24"/>
                <w:highlight w:val="none"/>
                <w:lang w:val="en-US" w:eastAsia="zh-CN"/>
              </w:rPr>
              <w:t xml:space="preserve">包</w:t>
            </w:r>
            <w:r>
              <w:rPr>
                <w:rFonts w:hint="eastAsia" w:ascii="宋体" w:hAnsi="宋体" w:eastAsia="宋体" w:cs="宋体"/>
                <w:sz w:val="24"/>
                <w:highlight w:val="none"/>
              </w:rPr>
              <w:t xml:space="preserve">括资产变更审计、资源使用审计、账号变更审计、文件操</w:t>
            </w:r>
            <w:r>
              <w:rPr>
                <w:rFonts w:hint="eastAsia" w:ascii="宋体" w:hAnsi="宋体" w:eastAsia="宋体" w:cs="宋体"/>
                <w:sz w:val="24"/>
                <w:highlight w:val="none"/>
              </w:rPr>
              <w:t xml:space="preserve">作</w:t>
            </w:r>
            <w:r>
              <w:rPr>
                <w:rFonts w:hint="eastAsia" w:ascii="宋体" w:hAnsi="宋体" w:eastAsia="宋体" w:cs="宋体"/>
                <w:sz w:val="24"/>
                <w:highlight w:val="none"/>
              </w:rPr>
              <w:t xml:space="preserve">审计、打印行为审计、刻录行为审计、</w:t>
            </w:r>
            <w:r>
              <w:rPr>
                <w:rFonts w:ascii="宋体" w:hAnsi="宋体" w:eastAsia="宋体" w:cs="宋体"/>
                <w:sz w:val="24"/>
                <w:highlight w:val="none"/>
              </w:rPr>
              <w:t xml:space="preserve">FTP</w:t>
            </w:r>
            <w:r>
              <w:rPr>
                <w:rFonts w:hint="eastAsia" w:ascii="宋体" w:hAnsi="宋体" w:eastAsia="宋体" w:cs="宋体"/>
                <w:sz w:val="24"/>
                <w:highlight w:val="none"/>
              </w:rPr>
              <w:t xml:space="preserve">访问行为审计、网站访问行为审计等，便于审计人员溯源违规行为。</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7</w:t>
            </w:r>
            <w:r>
              <w:rPr>
                <w:rFonts w:hint="eastAsia" w:ascii="宋体" w:hAnsi="宋体" w:eastAsia="宋体" w:cs="宋体"/>
                <w:sz w:val="24"/>
                <w:highlight w:val="none"/>
              </w:rPr>
              <w:t xml:space="preserve">、威胁检测：具备威胁行为检测的能力，包括端口扫描、暴力破解、反弹</w:t>
            </w:r>
            <w:r>
              <w:rPr>
                <w:rFonts w:ascii="宋体" w:hAnsi="宋体" w:eastAsia="宋体" w:cs="宋体"/>
                <w:sz w:val="24"/>
                <w:highlight w:val="none"/>
              </w:rPr>
              <w:t xml:space="preserve">shell</w:t>
            </w:r>
            <w:r>
              <w:rPr>
                <w:rFonts w:hint="eastAsia" w:ascii="宋体" w:hAnsi="宋体" w:eastAsia="宋体" w:cs="宋体"/>
                <w:sz w:val="24"/>
                <w:highlight w:val="none"/>
              </w:rPr>
              <w:t xml:space="preserve">（</w:t>
            </w:r>
            <w:r>
              <w:rPr>
                <w:rFonts w:ascii="宋体" w:hAnsi="宋体" w:eastAsia="宋体" w:cs="宋体"/>
                <w:sz w:val="24"/>
                <w:highlight w:val="none"/>
              </w:rPr>
              <w:t xml:space="preserve">linux</w:t>
            </w:r>
            <w:r>
              <w:rPr>
                <w:rFonts w:hint="eastAsia" w:ascii="宋体" w:hAnsi="宋体" w:eastAsia="宋体" w:cs="宋体"/>
                <w:sz w:val="24"/>
                <w:highlight w:val="none"/>
              </w:rPr>
              <w:t xml:space="preserve">）、系统命令篡改、异常行为等。</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8</w:t>
            </w:r>
            <w:r>
              <w:rPr>
                <w:rFonts w:hint="eastAsia" w:ascii="宋体" w:hAnsi="宋体" w:eastAsia="宋体" w:cs="宋体"/>
                <w:sz w:val="24"/>
                <w:highlight w:val="none"/>
              </w:rPr>
              <w:t xml:space="preserve">、病毒查杀：具备勒索病毒专项防护能力，包括勒索诱捕、文件保险箱、数据备份等，实时检测勒索病毒，防止勒索病毒入侵等。</w:t>
            </w:r>
            <w:r>
              <w:rPr>
                <w:rFonts w:ascii="宋体" w:hAnsi="宋体" w:eastAsia="宋体" w:cs="宋体"/>
                <w:sz w:val="24"/>
                <w:highlight w:val="none"/>
              </w:rPr>
            </w:r>
            <w:r/>
          </w:p>
          <w:p>
            <w:pPr>
              <w:pStyle w:val="737"/>
              <w:widowControl/>
              <w:rPr>
                <w:rFonts w:hint="eastAsia" w:ascii="宋体" w:hAnsi="宋体" w:eastAsia="宋体" w:cs="宋体"/>
                <w:sz w:val="24"/>
                <w:highlight w:val="none"/>
              </w:rPr>
            </w:pPr>
            <w:r>
              <w:rPr>
                <w:rFonts w:ascii="宋体" w:hAnsi="宋体" w:eastAsia="宋体" w:cs="宋体"/>
                <w:sz w:val="24"/>
                <w:highlight w:val="none"/>
              </w:rPr>
              <w:t xml:space="preserve">9</w:t>
            </w:r>
            <w:r>
              <w:rPr>
                <w:rFonts w:hint="eastAsia" w:ascii="宋体" w:hAnsi="宋体" w:eastAsia="宋体" w:cs="宋体"/>
                <w:sz w:val="24"/>
                <w:highlight w:val="none"/>
              </w:rPr>
              <w:t xml:space="preserve">、场景分析：预置勒索软件、</w:t>
            </w:r>
            <w:r>
              <w:rPr>
                <w:rFonts w:ascii="宋体" w:hAnsi="宋体" w:eastAsia="宋体" w:cs="宋体"/>
                <w:sz w:val="24"/>
                <w:highlight w:val="none"/>
              </w:rPr>
              <w:t xml:space="preserve">WEB</w:t>
            </w:r>
            <w:r>
              <w:rPr>
                <w:rFonts w:hint="eastAsia" w:ascii="宋体" w:hAnsi="宋体" w:eastAsia="宋体" w:cs="宋体"/>
                <w:sz w:val="24"/>
                <w:highlight w:val="none"/>
              </w:rPr>
              <w:t xml:space="preserve">服务器异常、失陷主机、挖矿软件、横向渗透五大常见安全威胁场景。</w:t>
            </w:r>
            <w:r>
              <w:rPr>
                <w:rFonts w:hint="eastAsia" w:ascii="宋体" w:hAnsi="宋体" w:eastAsia="宋体" w:cs="宋体"/>
                <w:sz w:val="24"/>
                <w:highlight w:val="none"/>
              </w:rPr>
            </w:r>
            <w:r/>
          </w:p>
        </w:tc>
      </w:tr>
      <w:tr>
        <w:trPr>
          <w:trHeight w:val="1122"/>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8</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服务器密码机</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2U</w:t>
            </w:r>
            <w:r>
              <w:rPr>
                <w:rFonts w:hint="eastAsia" w:ascii="宋体" w:hAnsi="宋体" w:eastAsia="宋体" w:cs="宋体"/>
                <w:sz w:val="24"/>
                <w:highlight w:val="none"/>
              </w:rPr>
              <w:t xml:space="preserve">标准架式结构，系统硬件为全内置封闭式结构，并内置加密卡；支持在国产化环境中使用，配置≥</w:t>
            </w:r>
            <w:r>
              <w:rPr>
                <w:rFonts w:ascii="宋体" w:hAnsi="宋体" w:eastAsia="宋体" w:cs="宋体"/>
                <w:sz w:val="24"/>
                <w:highlight w:val="none"/>
              </w:rPr>
              <w:t xml:space="preserve">2</w:t>
            </w:r>
            <w:r>
              <w:rPr>
                <w:rFonts w:hint="eastAsia" w:ascii="宋体" w:hAnsi="宋体" w:eastAsia="宋体" w:cs="宋体"/>
                <w:sz w:val="24"/>
                <w:highlight w:val="none"/>
              </w:rPr>
              <w:t xml:space="preserve">个</w:t>
            </w:r>
            <w:r>
              <w:rPr>
                <w:rFonts w:ascii="宋体" w:hAnsi="宋体" w:eastAsia="宋体" w:cs="宋体"/>
                <w:sz w:val="24"/>
                <w:highlight w:val="none"/>
              </w:rPr>
              <w:t xml:space="preserve">1000M</w:t>
            </w:r>
            <w:r>
              <w:rPr>
                <w:rFonts w:hint="eastAsia" w:ascii="宋体" w:hAnsi="宋体" w:eastAsia="宋体" w:cs="宋体"/>
                <w:sz w:val="24"/>
                <w:highlight w:val="none"/>
              </w:rPr>
              <w:t xml:space="preserve">网络接口；国产化密码卡和国产化操作系统，确保密码机的安全可控需求，支持</w:t>
            </w:r>
            <w:r>
              <w:rPr>
                <w:rFonts w:ascii="宋体" w:hAnsi="宋体" w:eastAsia="宋体" w:cs="宋体"/>
                <w:sz w:val="24"/>
                <w:highlight w:val="none"/>
              </w:rPr>
              <w:t xml:space="preserve">SM1/SM2/SM3/SM4</w:t>
            </w:r>
            <w:r>
              <w:rPr>
                <w:rFonts w:hint="eastAsia" w:ascii="宋体" w:hAnsi="宋体" w:eastAsia="宋体" w:cs="宋体"/>
                <w:sz w:val="24"/>
                <w:highlight w:val="none"/>
              </w:rPr>
              <w:t xml:space="preserve">密码算法，支持物理噪声源，可以生成满足要求的随机数。</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）至少支持</w:t>
            </w:r>
            <w:r>
              <w:rPr>
                <w:rFonts w:ascii="宋体" w:hAnsi="宋体" w:eastAsia="宋体" w:cs="宋体"/>
                <w:sz w:val="24"/>
                <w:highlight w:val="none"/>
              </w:rPr>
              <w:t xml:space="preserve">SM1</w:t>
            </w:r>
            <w:r>
              <w:rPr>
                <w:rFonts w:hint="eastAsia" w:ascii="宋体" w:hAnsi="宋体" w:eastAsia="宋体" w:cs="宋体"/>
                <w:sz w:val="24"/>
                <w:highlight w:val="none"/>
              </w:rPr>
              <w:t xml:space="preserve">、</w:t>
            </w:r>
            <w:r>
              <w:rPr>
                <w:rFonts w:ascii="宋体" w:hAnsi="宋体" w:eastAsia="宋体" w:cs="宋体"/>
                <w:sz w:val="24"/>
                <w:highlight w:val="none"/>
              </w:rPr>
              <w:t xml:space="preserve">SM2</w:t>
            </w:r>
            <w:r>
              <w:rPr>
                <w:rFonts w:hint="eastAsia" w:ascii="宋体" w:hAnsi="宋体" w:eastAsia="宋体" w:cs="宋体"/>
                <w:sz w:val="24"/>
                <w:highlight w:val="none"/>
              </w:rPr>
              <w:t xml:space="preserve">、</w:t>
            </w:r>
            <w:r>
              <w:rPr>
                <w:rFonts w:ascii="宋体" w:hAnsi="宋体" w:eastAsia="宋体" w:cs="宋体"/>
                <w:sz w:val="24"/>
                <w:highlight w:val="none"/>
              </w:rPr>
              <w:t xml:space="preserve">SM3</w:t>
            </w:r>
            <w:r>
              <w:rPr>
                <w:rFonts w:hint="eastAsia" w:ascii="宋体" w:hAnsi="宋体" w:eastAsia="宋体" w:cs="宋体"/>
                <w:sz w:val="24"/>
                <w:highlight w:val="none"/>
              </w:rPr>
              <w:t xml:space="preserve">、</w:t>
            </w:r>
            <w:r>
              <w:rPr>
                <w:rFonts w:ascii="宋体" w:hAnsi="宋体" w:eastAsia="宋体" w:cs="宋体"/>
                <w:sz w:val="24"/>
                <w:highlight w:val="none"/>
              </w:rPr>
              <w:t xml:space="preserve">SM4</w:t>
            </w:r>
            <w:r>
              <w:rPr>
                <w:rFonts w:hint="eastAsia" w:ascii="宋体" w:hAnsi="宋体" w:eastAsia="宋体" w:cs="宋体"/>
                <w:sz w:val="24"/>
                <w:highlight w:val="none"/>
              </w:rPr>
              <w:t xml:space="preserve">国密算法；</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2</w:t>
            </w:r>
            <w:r>
              <w:rPr>
                <w:rFonts w:hint="eastAsia" w:ascii="宋体" w:hAnsi="宋体" w:eastAsia="宋体" w:cs="宋体"/>
                <w:sz w:val="24"/>
                <w:highlight w:val="none"/>
              </w:rPr>
              <w:t xml:space="preserve">）可提供对称算法加解密、非对称算法加密、解密、签名、验证，消息鉴别码产生与验证等密码服务；</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3</w:t>
            </w:r>
            <w:r>
              <w:rPr>
                <w:rFonts w:hint="eastAsia" w:ascii="宋体" w:hAnsi="宋体" w:eastAsia="宋体" w:cs="宋体"/>
                <w:sz w:val="24"/>
                <w:highlight w:val="none"/>
              </w:rPr>
              <w:t xml:space="preserve">）支持基于</w:t>
            </w:r>
            <w:r>
              <w:rPr>
                <w:rFonts w:ascii="宋体" w:hAnsi="宋体" w:eastAsia="宋体" w:cs="宋体"/>
                <w:sz w:val="24"/>
                <w:highlight w:val="none"/>
              </w:rPr>
              <w:t xml:space="preserve">SM2</w:t>
            </w:r>
            <w:r>
              <w:rPr>
                <w:rFonts w:hint="eastAsia" w:ascii="宋体" w:hAnsi="宋体" w:eastAsia="宋体" w:cs="宋体"/>
                <w:sz w:val="24"/>
                <w:highlight w:val="none"/>
              </w:rPr>
              <w:t xml:space="preserve">算法的协同签名、协同验签运算功能；</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4</w:t>
            </w:r>
            <w:r>
              <w:rPr>
                <w:rFonts w:hint="eastAsia" w:ascii="宋体" w:hAnsi="宋体" w:eastAsia="宋体" w:cs="宋体"/>
                <w:sz w:val="24"/>
                <w:highlight w:val="none"/>
              </w:rPr>
              <w:t xml:space="preserve">）采用国家密码管理局批准的双硬件物理噪声源生成真正随机数，随机数质量高；</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5</w:t>
            </w:r>
            <w:r>
              <w:rPr>
                <w:rFonts w:hint="eastAsia" w:ascii="宋体" w:hAnsi="宋体" w:eastAsia="宋体" w:cs="宋体"/>
                <w:sz w:val="24"/>
                <w:highlight w:val="none"/>
              </w:rPr>
              <w:t xml:space="preserve">）支持密钥管理服务，采用“分层结构，逐层保护”的安全原则，提供管理密钥、用户密钥、会话密钥三层密钥体系，保证密钥的安全；</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6</w:t>
            </w:r>
            <w:r>
              <w:rPr>
                <w:rFonts w:hint="eastAsia" w:ascii="宋体" w:hAnsi="宋体" w:eastAsia="宋体" w:cs="宋体"/>
                <w:sz w:val="24"/>
                <w:highlight w:val="none"/>
              </w:rPr>
              <w:t xml:space="preserve">）支持密钥批处理功能，通过设置密钥号起止位置等信息，批量生成或删除密钥对；</w:t>
            </w:r>
            <w:r>
              <w:rPr>
                <w:rFonts w:ascii="宋体" w:hAnsi="宋体" w:eastAsia="宋体" w:cs="宋体"/>
                <w:sz w:val="24"/>
                <w:highlight w:val="none"/>
              </w:rPr>
              <w:t xml:space="preserve"> </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7</w:t>
            </w:r>
            <w:r>
              <w:rPr>
                <w:rFonts w:hint="eastAsia" w:ascii="宋体" w:hAnsi="宋体" w:eastAsia="宋体" w:cs="宋体"/>
                <w:sz w:val="24"/>
                <w:highlight w:val="none"/>
              </w:rPr>
              <w:t xml:space="preserve">）支持指定算法类型、密钥号等信息，自动生成</w:t>
            </w:r>
            <w:r>
              <w:rPr>
                <w:rFonts w:ascii="宋体" w:hAnsi="宋体" w:eastAsia="宋体" w:cs="宋体"/>
                <w:sz w:val="24"/>
                <w:highlight w:val="none"/>
              </w:rPr>
              <w:t xml:space="preserve">P10</w:t>
            </w:r>
            <w:r>
              <w:rPr>
                <w:rFonts w:hint="eastAsia" w:ascii="宋体" w:hAnsi="宋体" w:eastAsia="宋体" w:cs="宋体"/>
                <w:sz w:val="24"/>
                <w:highlight w:val="none"/>
              </w:rPr>
              <w:t xml:space="preserve">申请，以文件方式导出；</w:t>
            </w:r>
            <w:r>
              <w:rPr>
                <w:rFonts w:ascii="宋体" w:hAnsi="宋体" w:eastAsia="宋体" w:cs="宋体"/>
                <w:sz w:val="24"/>
                <w:highlight w:val="none"/>
              </w:rPr>
            </w:r>
            <w:r/>
          </w:p>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8</w:t>
            </w:r>
            <w:r>
              <w:rPr>
                <w:rFonts w:hint="eastAsia" w:ascii="宋体" w:hAnsi="宋体" w:eastAsia="宋体" w:cs="宋体"/>
                <w:sz w:val="24"/>
                <w:highlight w:val="none"/>
              </w:rPr>
              <w:t xml:space="preserve">）支持基于三五门限安全机制的密钥备份与恢复，且支持多版本备份恢复；</w:t>
            </w:r>
            <w:r>
              <w:rPr>
                <w:rFonts w:hint="eastAsia"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9</w:t>
            </w:r>
            <w:r>
              <w:rPr>
                <w:rFonts w:hint="eastAsia" w:ascii="宋体" w:hAnsi="宋体" w:eastAsia="宋体" w:cs="宋体"/>
                <w:sz w:val="24"/>
                <w:highlight w:val="none"/>
              </w:rPr>
              <w:t xml:space="preserve">）支持分级权限管理，管理人员身份凭证信息安全存储在智能密码钥匙中；</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10</w:t>
            </w:r>
            <w:r>
              <w:rPr>
                <w:rFonts w:hint="eastAsia" w:ascii="宋体" w:hAnsi="宋体" w:eastAsia="宋体" w:cs="宋体"/>
                <w:sz w:val="24"/>
                <w:highlight w:val="none"/>
              </w:rPr>
              <w:t xml:space="preserve">）支持</w:t>
            </w:r>
            <w:r>
              <w:rPr>
                <w:rFonts w:ascii="宋体" w:hAnsi="宋体" w:eastAsia="宋体" w:cs="宋体"/>
                <w:sz w:val="24"/>
                <w:highlight w:val="none"/>
              </w:rPr>
              <w:t xml:space="preserve">CS/WEB</w:t>
            </w:r>
            <w:r>
              <w:rPr>
                <w:rFonts w:hint="eastAsia" w:ascii="宋体" w:hAnsi="宋体" w:eastAsia="宋体" w:cs="宋体"/>
                <w:sz w:val="24"/>
                <w:highlight w:val="none"/>
              </w:rPr>
              <w:t xml:space="preserve">管理方式，并支持</w:t>
            </w:r>
            <w:r>
              <w:rPr>
                <w:rFonts w:ascii="宋体" w:hAnsi="宋体" w:eastAsia="宋体" w:cs="宋体"/>
                <w:sz w:val="24"/>
                <w:highlight w:val="none"/>
              </w:rPr>
              <w:t xml:space="preserve">SSL</w:t>
            </w:r>
            <w:r>
              <w:rPr>
                <w:rFonts w:hint="eastAsia" w:ascii="宋体" w:hAnsi="宋体" w:eastAsia="宋体" w:cs="宋体"/>
                <w:sz w:val="24"/>
                <w:highlight w:val="none"/>
              </w:rPr>
              <w:t xml:space="preserve">协议确保通信的机密性；</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11</w:t>
            </w:r>
            <w:r>
              <w:rPr>
                <w:rFonts w:hint="eastAsia" w:ascii="宋体" w:hAnsi="宋体" w:eastAsia="宋体" w:cs="宋体"/>
                <w:sz w:val="24"/>
                <w:highlight w:val="none"/>
              </w:rPr>
              <w:t xml:space="preserve">）支持国密</w:t>
            </w:r>
            <w:r>
              <w:rPr>
                <w:rFonts w:ascii="宋体" w:hAnsi="宋体" w:eastAsia="宋体" w:cs="宋体"/>
                <w:sz w:val="24"/>
                <w:highlight w:val="none"/>
              </w:rPr>
              <w:t xml:space="preserve">SSH</w:t>
            </w:r>
            <w:r>
              <w:rPr>
                <w:rFonts w:hint="eastAsia" w:ascii="宋体" w:hAnsi="宋体" w:eastAsia="宋体" w:cs="宋体"/>
                <w:sz w:val="24"/>
                <w:highlight w:val="none"/>
              </w:rPr>
              <w:t xml:space="preserve">、国密</w:t>
            </w:r>
            <w:r>
              <w:rPr>
                <w:rFonts w:ascii="宋体" w:hAnsi="宋体" w:eastAsia="宋体" w:cs="宋体"/>
                <w:sz w:val="24"/>
                <w:highlight w:val="none"/>
              </w:rPr>
              <w:t xml:space="preserve">FTP</w:t>
            </w:r>
            <w:r>
              <w:rPr>
                <w:rFonts w:hint="eastAsia" w:ascii="宋体" w:hAnsi="宋体" w:eastAsia="宋体" w:cs="宋体"/>
                <w:sz w:val="24"/>
                <w:highlight w:val="none"/>
              </w:rPr>
              <w:t xml:space="preserve">，保证整机运维安全；</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12</w:t>
            </w:r>
            <w:r>
              <w:rPr>
                <w:rFonts w:hint="eastAsia" w:ascii="宋体" w:hAnsi="宋体" w:eastAsia="宋体" w:cs="宋体"/>
                <w:sz w:val="24"/>
                <w:highlight w:val="none"/>
              </w:rPr>
              <w:t xml:space="preserve">）支持设备网口配置管理功能，可将网口设置为配置管理、主服务、兼容、聚合四种模式；</w:t>
            </w:r>
            <w:r>
              <w:rPr>
                <w:rFonts w:ascii="宋体" w:hAnsi="宋体" w:eastAsia="宋体" w:cs="宋体"/>
                <w:sz w:val="24"/>
                <w:highlight w:val="none"/>
              </w:rPr>
              <w:t xml:space="preserve"> </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13</w:t>
            </w:r>
            <w:r>
              <w:rPr>
                <w:rFonts w:hint="eastAsia" w:ascii="宋体" w:hAnsi="宋体" w:eastAsia="宋体" w:cs="宋体"/>
                <w:sz w:val="24"/>
                <w:highlight w:val="none"/>
              </w:rPr>
              <w:t xml:space="preserve">）支持日志等级设置，可设置为</w:t>
            </w:r>
            <w:r>
              <w:rPr>
                <w:rFonts w:ascii="宋体" w:hAnsi="宋体" w:eastAsia="宋体" w:cs="宋体"/>
                <w:sz w:val="24"/>
                <w:highlight w:val="none"/>
              </w:rPr>
              <w:t xml:space="preserve">DEBUG</w:t>
            </w:r>
            <w:r>
              <w:rPr>
                <w:rFonts w:hint="eastAsia" w:ascii="宋体" w:hAnsi="宋体" w:eastAsia="宋体" w:cs="宋体"/>
                <w:sz w:val="24"/>
                <w:highlight w:val="none"/>
              </w:rPr>
              <w:t xml:space="preserve">、</w:t>
            </w:r>
            <w:r>
              <w:rPr>
                <w:rFonts w:ascii="宋体" w:hAnsi="宋体" w:eastAsia="宋体" w:cs="宋体"/>
                <w:sz w:val="24"/>
                <w:highlight w:val="none"/>
              </w:rPr>
              <w:t xml:space="preserve">WARN</w:t>
            </w:r>
            <w:r>
              <w:rPr>
                <w:rFonts w:hint="eastAsia" w:ascii="宋体" w:hAnsi="宋体" w:eastAsia="宋体" w:cs="宋体"/>
                <w:sz w:val="24"/>
                <w:highlight w:val="none"/>
              </w:rPr>
              <w:t xml:space="preserve">、</w:t>
            </w:r>
            <w:r>
              <w:rPr>
                <w:rFonts w:ascii="宋体" w:hAnsi="宋体" w:eastAsia="宋体" w:cs="宋体"/>
                <w:sz w:val="24"/>
                <w:highlight w:val="none"/>
              </w:rPr>
              <w:t xml:space="preserve">ERR0R</w:t>
            </w:r>
            <w:r>
              <w:rPr>
                <w:rFonts w:hint="eastAsia" w:ascii="宋体" w:hAnsi="宋体" w:eastAsia="宋体" w:cs="宋体"/>
                <w:sz w:val="24"/>
                <w:highlight w:val="none"/>
              </w:rPr>
              <w:t xml:space="preserve">、</w:t>
            </w:r>
            <w:r>
              <w:rPr>
                <w:rFonts w:ascii="宋体" w:hAnsi="宋体" w:eastAsia="宋体" w:cs="宋体"/>
                <w:sz w:val="24"/>
                <w:highlight w:val="none"/>
              </w:rPr>
              <w:t xml:space="preserve">FATAL</w:t>
            </w:r>
            <w:r>
              <w:rPr>
                <w:rFonts w:hint="eastAsia" w:ascii="宋体" w:hAnsi="宋体" w:eastAsia="宋体" w:cs="宋体"/>
                <w:sz w:val="24"/>
                <w:highlight w:val="none"/>
              </w:rPr>
              <w:t xml:space="preserve">四个等级，且支持通过数字签名的方式实现日志数据完整性保护；</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14</w:t>
            </w:r>
            <w:r>
              <w:rPr>
                <w:rFonts w:hint="eastAsia" w:ascii="宋体" w:hAnsi="宋体" w:eastAsia="宋体" w:cs="宋体"/>
                <w:sz w:val="24"/>
                <w:highlight w:val="none"/>
              </w:rPr>
              <w:t xml:space="preserve">）支持</w:t>
            </w:r>
            <w:r>
              <w:rPr>
                <w:rFonts w:ascii="宋体" w:hAnsi="宋体" w:eastAsia="宋体" w:cs="宋体"/>
                <w:sz w:val="24"/>
                <w:highlight w:val="none"/>
              </w:rPr>
              <w:t xml:space="preserve">keystore</w:t>
            </w:r>
            <w:r>
              <w:rPr>
                <w:rFonts w:hint="eastAsia" w:ascii="宋体" w:hAnsi="宋体" w:eastAsia="宋体" w:cs="宋体"/>
                <w:sz w:val="24"/>
                <w:highlight w:val="none"/>
              </w:rPr>
              <w:t xml:space="preserve">的配置和管理功能；</w:t>
            </w:r>
            <w:r>
              <w:rPr>
                <w:rFonts w:ascii="宋体" w:hAnsi="宋体" w:eastAsia="宋体" w:cs="宋体"/>
                <w:sz w:val="24"/>
                <w:highlight w:val="none"/>
              </w:rPr>
              <w:t xml:space="preserve"> </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15</w:t>
            </w:r>
            <w:r>
              <w:rPr>
                <w:rFonts w:hint="eastAsia" w:ascii="宋体" w:hAnsi="宋体" w:eastAsia="宋体" w:cs="宋体"/>
                <w:sz w:val="24"/>
                <w:highlight w:val="none"/>
              </w:rPr>
              <w:t xml:space="preserve">）支持设备自检功能，自检内容包括随机数自检、算法正确性自检等；</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16</w:t>
            </w:r>
            <w:r>
              <w:rPr>
                <w:rFonts w:hint="eastAsia" w:ascii="宋体" w:hAnsi="宋体" w:eastAsia="宋体" w:cs="宋体"/>
                <w:sz w:val="24"/>
                <w:highlight w:val="none"/>
              </w:rPr>
              <w:t xml:space="preserve">）支持开机启动系统镜像的完整性检验；</w:t>
            </w:r>
            <w:r>
              <w:rPr>
                <w:rFonts w:ascii="宋体" w:hAnsi="宋体" w:eastAsia="宋体" w:cs="宋体"/>
                <w:sz w:val="24"/>
                <w:highlight w:val="none"/>
              </w:rPr>
              <w:t xml:space="preserve"> </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17</w:t>
            </w:r>
            <w:r>
              <w:rPr>
                <w:rFonts w:hint="eastAsia" w:ascii="宋体" w:hAnsi="宋体" w:eastAsia="宋体" w:cs="宋体"/>
                <w:sz w:val="24"/>
                <w:highlight w:val="none"/>
              </w:rPr>
              <w:t xml:space="preserve">）支持双机热备、负载均衡等高可用部署模式，提高服务的可靠性。</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18</w:t>
            </w:r>
            <w:r>
              <w:rPr>
                <w:rFonts w:hint="eastAsia" w:ascii="宋体" w:hAnsi="宋体" w:eastAsia="宋体" w:cs="宋体"/>
                <w:sz w:val="24"/>
                <w:highlight w:val="none"/>
              </w:rPr>
              <w:t xml:space="preserve">）支持国标接口，符合</w:t>
            </w:r>
            <w:r>
              <w:rPr>
                <w:rFonts w:ascii="宋体" w:hAnsi="宋体" w:eastAsia="宋体" w:cs="宋体"/>
                <w:sz w:val="24"/>
                <w:highlight w:val="none"/>
              </w:rPr>
              <w:t xml:space="preserve">GM/T0018  2012</w:t>
            </w:r>
            <w:r>
              <w:rPr>
                <w:rFonts w:hint="eastAsia" w:ascii="宋体" w:hAnsi="宋体" w:eastAsia="宋体" w:cs="宋体"/>
                <w:sz w:val="24"/>
                <w:highlight w:val="none"/>
              </w:rPr>
              <w:t xml:space="preserve">《密码设备应用接口规范》，支持支持国际标准的</w:t>
            </w:r>
            <w:r>
              <w:rPr>
                <w:rFonts w:ascii="宋体" w:hAnsi="宋体" w:eastAsia="宋体" w:cs="宋体"/>
                <w:sz w:val="24"/>
                <w:highlight w:val="none"/>
              </w:rPr>
              <w:t xml:space="preserve">PKCS#11</w:t>
            </w:r>
            <w:r>
              <w:rPr>
                <w:rFonts w:hint="eastAsia" w:ascii="宋体" w:hAnsi="宋体" w:eastAsia="宋体" w:cs="宋体"/>
                <w:sz w:val="24"/>
                <w:highlight w:val="none"/>
              </w:rPr>
              <w:t xml:space="preserve">、</w:t>
            </w:r>
            <w:r>
              <w:rPr>
                <w:rFonts w:ascii="宋体" w:hAnsi="宋体" w:eastAsia="宋体" w:cs="宋体"/>
                <w:sz w:val="24"/>
                <w:highlight w:val="none"/>
              </w:rPr>
              <w:t xml:space="preserve">JCE</w:t>
            </w:r>
            <w:r>
              <w:rPr>
                <w:rFonts w:hint="eastAsia" w:ascii="宋体" w:hAnsi="宋体" w:eastAsia="宋体" w:cs="宋体"/>
                <w:sz w:val="24"/>
                <w:highlight w:val="none"/>
              </w:rPr>
              <w:t xml:space="preserve">等接口，支持</w:t>
            </w:r>
            <w:r>
              <w:rPr>
                <w:rFonts w:ascii="宋体" w:hAnsi="宋体" w:eastAsia="宋体" w:cs="宋体"/>
                <w:sz w:val="24"/>
                <w:highlight w:val="none"/>
              </w:rPr>
              <w:t xml:space="preserve">KMIP</w:t>
            </w:r>
            <w:r>
              <w:rPr>
                <w:rFonts w:hint="eastAsia" w:ascii="宋体" w:hAnsi="宋体" w:eastAsia="宋体" w:cs="宋体"/>
                <w:sz w:val="24"/>
                <w:highlight w:val="none"/>
              </w:rPr>
              <w:t xml:space="preserve">、</w:t>
            </w:r>
            <w:r>
              <w:rPr>
                <w:rFonts w:ascii="宋体" w:hAnsi="宋体" w:eastAsia="宋体" w:cs="宋体"/>
                <w:sz w:val="24"/>
                <w:highlight w:val="none"/>
              </w:rPr>
              <w:t xml:space="preserve">restful</w:t>
            </w:r>
            <w:r>
              <w:rPr>
                <w:rFonts w:hint="eastAsia" w:ascii="宋体" w:hAnsi="宋体" w:eastAsia="宋体" w:cs="宋体"/>
                <w:sz w:val="24"/>
                <w:highlight w:val="none"/>
              </w:rPr>
              <w:t xml:space="preserve">接口，支持用户定制接口开发；</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19</w:t>
            </w:r>
            <w:r>
              <w:rPr>
                <w:rFonts w:hint="eastAsia" w:ascii="宋体" w:hAnsi="宋体" w:eastAsia="宋体" w:cs="宋体"/>
                <w:sz w:val="24"/>
                <w:highlight w:val="none"/>
              </w:rPr>
              <w:t xml:space="preserve">）支持</w:t>
            </w:r>
            <w:r>
              <w:rPr>
                <w:rFonts w:ascii="宋体" w:hAnsi="宋体" w:eastAsia="宋体" w:cs="宋体"/>
                <w:sz w:val="24"/>
                <w:highlight w:val="none"/>
              </w:rPr>
              <w:t xml:space="preserve">IPV6</w:t>
            </w:r>
            <w:r>
              <w:rPr>
                <w:rFonts w:hint="eastAsia" w:ascii="宋体" w:hAnsi="宋体" w:eastAsia="宋体" w:cs="宋体"/>
                <w:sz w:val="24"/>
                <w:highlight w:val="none"/>
              </w:rPr>
              <w:t xml:space="preserve">网络。</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性能参数：</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     SM1</w:t>
            </w:r>
            <w:r>
              <w:rPr>
                <w:rFonts w:hint="eastAsia" w:ascii="宋体" w:hAnsi="宋体" w:eastAsia="宋体" w:cs="宋体"/>
                <w:sz w:val="24"/>
                <w:highlight w:val="none"/>
              </w:rPr>
              <w:t xml:space="preserve">算法加解密速度≥</w:t>
            </w:r>
            <w:r>
              <w:rPr>
                <w:rFonts w:ascii="宋体" w:hAnsi="宋体" w:eastAsia="宋体" w:cs="宋体"/>
                <w:sz w:val="24"/>
                <w:highlight w:val="none"/>
              </w:rPr>
              <w:t xml:space="preserve">750Mbps</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     SM2</w:t>
            </w:r>
            <w:r>
              <w:rPr>
                <w:rFonts w:hint="eastAsia" w:ascii="宋体" w:hAnsi="宋体" w:eastAsia="宋体" w:cs="宋体"/>
                <w:sz w:val="24"/>
                <w:highlight w:val="none"/>
              </w:rPr>
              <w:t xml:space="preserve">算法：</w:t>
            </w:r>
            <w:r>
              <w:rPr>
                <w:rFonts w:ascii="宋体" w:hAnsi="宋体" w:eastAsia="宋体" w:cs="宋体"/>
                <w:sz w:val="24"/>
                <w:highlight w:val="none"/>
              </w:rPr>
              <w:t xml:space="preserve"> </w:t>
            </w:r>
            <w:r>
              <w:rPr>
                <w:rFonts w:hint="eastAsia" w:ascii="宋体" w:hAnsi="宋体" w:eastAsia="宋体" w:cs="宋体"/>
                <w:sz w:val="24"/>
                <w:highlight w:val="none"/>
              </w:rPr>
              <w:t xml:space="preserve">生密钥≥</w:t>
            </w:r>
            <w:r>
              <w:rPr>
                <w:rFonts w:ascii="宋体" w:hAnsi="宋体" w:eastAsia="宋体" w:cs="宋体"/>
                <w:sz w:val="24"/>
                <w:highlight w:val="none"/>
              </w:rPr>
              <w:t xml:space="preserve">67000</w:t>
            </w:r>
            <w:r>
              <w:rPr>
                <w:rFonts w:hint="eastAsia" w:ascii="宋体" w:hAnsi="宋体" w:eastAsia="宋体" w:cs="宋体"/>
                <w:sz w:val="24"/>
                <w:highlight w:val="none"/>
              </w:rPr>
              <w:t xml:space="preserve">次</w:t>
            </w:r>
            <w:r>
              <w:rPr>
                <w:rFonts w:ascii="宋体" w:hAnsi="宋体" w:eastAsia="宋体" w:cs="宋体"/>
                <w:sz w:val="24"/>
                <w:highlight w:val="none"/>
              </w:rPr>
              <w:t xml:space="preserve">/</w:t>
            </w:r>
            <w:r>
              <w:rPr>
                <w:rFonts w:hint="eastAsia" w:ascii="宋体" w:hAnsi="宋体" w:eastAsia="宋体" w:cs="宋体"/>
                <w:sz w:val="24"/>
                <w:highlight w:val="none"/>
              </w:rPr>
              <w:t xml:space="preserve">秒，加密速度≥</w:t>
            </w:r>
            <w:r>
              <w:rPr>
                <w:rFonts w:ascii="宋体" w:hAnsi="宋体" w:eastAsia="宋体" w:cs="宋体"/>
                <w:sz w:val="24"/>
                <w:highlight w:val="none"/>
              </w:rPr>
              <w:t xml:space="preserve">31000</w:t>
            </w:r>
            <w:r>
              <w:rPr>
                <w:rFonts w:hint="eastAsia" w:ascii="宋体" w:hAnsi="宋体" w:eastAsia="宋体" w:cs="宋体"/>
                <w:sz w:val="24"/>
                <w:highlight w:val="none"/>
              </w:rPr>
              <w:t xml:space="preserve">次</w:t>
            </w:r>
            <w:r>
              <w:rPr>
                <w:rFonts w:ascii="宋体" w:hAnsi="宋体" w:eastAsia="宋体" w:cs="宋体"/>
                <w:sz w:val="24"/>
                <w:highlight w:val="none"/>
              </w:rPr>
              <w:t xml:space="preserve">/</w:t>
            </w:r>
            <w:r>
              <w:rPr>
                <w:rFonts w:hint="eastAsia" w:ascii="宋体" w:hAnsi="宋体" w:eastAsia="宋体" w:cs="宋体"/>
                <w:sz w:val="24"/>
                <w:highlight w:val="none"/>
              </w:rPr>
              <w:t xml:space="preserve">秒，解密速度≥</w:t>
            </w:r>
            <w:r>
              <w:rPr>
                <w:rFonts w:ascii="宋体" w:hAnsi="宋体" w:eastAsia="宋体" w:cs="宋体"/>
                <w:sz w:val="24"/>
                <w:highlight w:val="none"/>
              </w:rPr>
              <w:t xml:space="preserve">33000</w:t>
            </w:r>
            <w:r>
              <w:rPr>
                <w:rFonts w:hint="eastAsia" w:ascii="宋体" w:hAnsi="宋体" w:eastAsia="宋体" w:cs="宋体"/>
                <w:sz w:val="24"/>
                <w:highlight w:val="none"/>
              </w:rPr>
              <w:t xml:space="preserve">次</w:t>
            </w:r>
            <w:r>
              <w:rPr>
                <w:rFonts w:ascii="宋体" w:hAnsi="宋体" w:eastAsia="宋体" w:cs="宋体"/>
                <w:sz w:val="24"/>
                <w:highlight w:val="none"/>
              </w:rPr>
              <w:t xml:space="preserve">/</w:t>
            </w:r>
            <w:r>
              <w:rPr>
                <w:rFonts w:hint="eastAsia" w:ascii="宋体" w:hAnsi="宋体" w:eastAsia="宋体" w:cs="宋体"/>
                <w:sz w:val="24"/>
                <w:highlight w:val="none"/>
              </w:rPr>
              <w:t xml:space="preserve">秒，签名速度≥</w:t>
            </w:r>
            <w:r>
              <w:rPr>
                <w:rFonts w:ascii="宋体" w:hAnsi="宋体" w:eastAsia="宋体" w:cs="宋体"/>
                <w:sz w:val="24"/>
                <w:highlight w:val="none"/>
              </w:rPr>
              <w:t xml:space="preserve">82000</w:t>
            </w:r>
            <w:r>
              <w:rPr>
                <w:rFonts w:hint="eastAsia" w:ascii="宋体" w:hAnsi="宋体" w:eastAsia="宋体" w:cs="宋体"/>
                <w:sz w:val="24"/>
                <w:highlight w:val="none"/>
              </w:rPr>
              <w:t xml:space="preserve">次</w:t>
            </w:r>
            <w:r>
              <w:rPr>
                <w:rFonts w:ascii="宋体" w:hAnsi="宋体" w:eastAsia="宋体" w:cs="宋体"/>
                <w:sz w:val="24"/>
                <w:highlight w:val="none"/>
              </w:rPr>
              <w:t xml:space="preserve">/</w:t>
            </w:r>
            <w:r>
              <w:rPr>
                <w:rFonts w:hint="eastAsia" w:ascii="宋体" w:hAnsi="宋体" w:eastAsia="宋体" w:cs="宋体"/>
                <w:sz w:val="24"/>
                <w:highlight w:val="none"/>
              </w:rPr>
              <w:t xml:space="preserve">秒，验签速度≥</w:t>
            </w:r>
            <w:r>
              <w:rPr>
                <w:rFonts w:ascii="宋体" w:hAnsi="宋体" w:eastAsia="宋体" w:cs="宋体"/>
                <w:sz w:val="24"/>
                <w:highlight w:val="none"/>
              </w:rPr>
              <w:t xml:space="preserve">64000</w:t>
            </w:r>
            <w:r>
              <w:rPr>
                <w:rFonts w:hint="eastAsia" w:ascii="宋体" w:hAnsi="宋体" w:eastAsia="宋体" w:cs="宋体"/>
                <w:sz w:val="24"/>
                <w:highlight w:val="none"/>
              </w:rPr>
              <w:t xml:space="preserve">次</w:t>
            </w:r>
            <w:r>
              <w:rPr>
                <w:rFonts w:ascii="宋体" w:hAnsi="宋体" w:eastAsia="宋体" w:cs="宋体"/>
                <w:sz w:val="24"/>
                <w:highlight w:val="none"/>
              </w:rPr>
              <w:t xml:space="preserve">/</w:t>
            </w:r>
            <w:r>
              <w:rPr>
                <w:rFonts w:hint="eastAsia" w:ascii="宋体" w:hAnsi="宋体" w:eastAsia="宋体" w:cs="宋体"/>
                <w:sz w:val="24"/>
                <w:highlight w:val="none"/>
              </w:rPr>
              <w:t xml:space="preserve">秒；</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     SM3</w:t>
            </w:r>
            <w:r>
              <w:rPr>
                <w:rFonts w:hint="eastAsia" w:ascii="宋体" w:hAnsi="宋体" w:eastAsia="宋体" w:cs="宋体"/>
                <w:sz w:val="24"/>
                <w:highlight w:val="none"/>
              </w:rPr>
              <w:t xml:space="preserve">算法≥</w:t>
            </w:r>
            <w:r>
              <w:rPr>
                <w:rFonts w:ascii="宋体" w:hAnsi="宋体" w:eastAsia="宋体" w:cs="宋体"/>
                <w:sz w:val="24"/>
                <w:highlight w:val="none"/>
              </w:rPr>
              <w:t xml:space="preserve">850Mbps</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     SM4</w:t>
            </w:r>
            <w:r>
              <w:rPr>
                <w:rFonts w:hint="eastAsia" w:ascii="宋体" w:hAnsi="宋体" w:eastAsia="宋体" w:cs="宋体"/>
                <w:sz w:val="24"/>
                <w:highlight w:val="none"/>
              </w:rPr>
              <w:t xml:space="preserve">算法加解密速度≥</w:t>
            </w:r>
            <w:r>
              <w:rPr>
                <w:rFonts w:ascii="宋体" w:hAnsi="宋体" w:eastAsia="宋体" w:cs="宋体"/>
                <w:sz w:val="24"/>
                <w:highlight w:val="none"/>
              </w:rPr>
              <w:t xml:space="preserve">750Mbps</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     </w:t>
            </w:r>
            <w:r>
              <w:rPr>
                <w:rFonts w:hint="eastAsia" w:ascii="宋体" w:hAnsi="宋体" w:eastAsia="宋体" w:cs="宋体"/>
                <w:sz w:val="24"/>
                <w:highlight w:val="none"/>
              </w:rPr>
              <w:t xml:space="preserve">数据加密密钥≥</w:t>
            </w:r>
            <w:r>
              <w:rPr>
                <w:rFonts w:ascii="宋体" w:hAnsi="宋体" w:eastAsia="宋体" w:cs="宋体"/>
                <w:sz w:val="24"/>
                <w:highlight w:val="none"/>
              </w:rPr>
              <w:t xml:space="preserve">1024</w:t>
            </w:r>
            <w:r>
              <w:rPr>
                <w:rFonts w:hint="eastAsia" w:ascii="宋体" w:hAnsi="宋体" w:eastAsia="宋体" w:cs="宋体"/>
                <w:sz w:val="24"/>
                <w:highlight w:val="none"/>
              </w:rPr>
              <w:t xml:space="preserve">个</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ascii="宋体" w:hAnsi="宋体" w:eastAsia="宋体" w:cs="宋体"/>
                <w:sz w:val="24"/>
                <w:highlight w:val="none"/>
              </w:rPr>
              <w:t xml:space="preserve">3.</w:t>
            </w:r>
            <w:r>
              <w:rPr>
                <w:rFonts w:hint="eastAsia" w:ascii="宋体" w:hAnsi="宋体" w:eastAsia="宋体" w:cs="宋体"/>
                <w:sz w:val="24"/>
                <w:highlight w:val="none"/>
              </w:rPr>
              <w:t xml:space="preserve">产品满足</w:t>
            </w:r>
            <w:r>
              <w:rPr>
                <w:rFonts w:ascii="宋体" w:hAnsi="宋体" w:eastAsia="宋体" w:cs="宋体"/>
                <w:sz w:val="24"/>
                <w:highlight w:val="none"/>
              </w:rPr>
              <w:t xml:space="preserve">IPv6 Ready Logo</w:t>
            </w:r>
            <w:r>
              <w:rPr>
                <w:rFonts w:hint="eastAsia" w:ascii="宋体" w:hAnsi="宋体" w:eastAsia="宋体" w:cs="宋体"/>
                <w:sz w:val="24"/>
                <w:highlight w:val="none"/>
              </w:rPr>
              <w:t xml:space="preserve">认证要求</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tc>
      </w:tr>
      <w:tr>
        <w:trPr>
          <w:trHeight w:val="576"/>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9</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签名验签系统</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w:t>
            </w:r>
            <w:r>
              <w:rPr>
                <w:rFonts w:ascii="宋体" w:hAnsi="宋体" w:eastAsia="宋体" w:cs="宋体"/>
                <w:sz w:val="24"/>
                <w:highlight w:val="none"/>
              </w:rPr>
              <w:t xml:space="preserve">2U</w:t>
            </w:r>
            <w:r>
              <w:rPr>
                <w:rFonts w:hint="eastAsia" w:ascii="宋体" w:hAnsi="宋体" w:eastAsia="宋体" w:cs="宋体"/>
                <w:sz w:val="24"/>
                <w:highlight w:val="none"/>
              </w:rPr>
              <w:t xml:space="preserve">标准架式结构，系统硬件为全内置封闭式结构，并内置加密卡；支持在国产化环境中使用，配置≥</w:t>
            </w:r>
            <w:r>
              <w:rPr>
                <w:rFonts w:ascii="宋体" w:hAnsi="宋体" w:eastAsia="宋体" w:cs="宋体"/>
                <w:sz w:val="24"/>
                <w:highlight w:val="none"/>
              </w:rPr>
              <w:t xml:space="preserve">2</w:t>
            </w:r>
            <w:r>
              <w:rPr>
                <w:rFonts w:hint="eastAsia" w:ascii="宋体" w:hAnsi="宋体" w:eastAsia="宋体" w:cs="宋体"/>
                <w:sz w:val="24"/>
                <w:highlight w:val="none"/>
              </w:rPr>
              <w:t xml:space="preserve">个</w:t>
            </w:r>
            <w:r>
              <w:rPr>
                <w:rFonts w:ascii="宋体" w:hAnsi="宋体" w:eastAsia="宋体" w:cs="宋体"/>
                <w:sz w:val="24"/>
                <w:highlight w:val="none"/>
              </w:rPr>
              <w:t xml:space="preserve">1000M</w:t>
            </w:r>
            <w:r>
              <w:rPr>
                <w:rFonts w:hint="eastAsia" w:ascii="宋体" w:hAnsi="宋体" w:eastAsia="宋体" w:cs="宋体"/>
                <w:sz w:val="24"/>
                <w:highlight w:val="none"/>
              </w:rPr>
              <w:t xml:space="preserve">网络接口；</w:t>
            </w:r>
            <w:r>
              <w:rPr>
                <w:rFonts w:ascii="宋体" w:hAnsi="宋体" w:eastAsia="宋体" w:cs="宋体"/>
                <w:sz w:val="24"/>
                <w:highlight w:val="none"/>
              </w:rPr>
              <w:t xml:space="preserve"> </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2.采用</w:t>
            </w:r>
            <w:r>
              <w:rPr>
                <w:rFonts w:ascii="宋体" w:hAnsi="宋体" w:eastAsia="宋体" w:cs="宋体"/>
                <w:sz w:val="24"/>
                <w:highlight w:val="none"/>
              </w:rPr>
              <w:t xml:space="preserve">LDAP</w:t>
            </w:r>
            <w:r>
              <w:rPr>
                <w:rFonts w:hint="eastAsia" w:ascii="宋体" w:hAnsi="宋体" w:eastAsia="宋体" w:cs="宋体"/>
                <w:sz w:val="24"/>
                <w:highlight w:val="none"/>
              </w:rPr>
              <w:t xml:space="preserve">目录服务技术，存储所有用户信息、机构信息和授权信息，并作为用户信息统一发布，提供统一的用户管理入口，支持由各级管理员对机构、用户组、用户、应用进行相应的管理维护；</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3.业务管理员可设置第三方应用调用的策略，包括设置证书在线检测方式、数据签名策略（支持国密算法）、消息签名策略（支持国密算法）等；</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4.提供系统自检功能，可检测服务器密码算法是否正确、随机数发生器、存储密钥和数据完整性等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5.支持江苏省电子政务证书</w:t>
            </w:r>
            <w:r>
              <w:rPr>
                <w:rFonts w:ascii="宋体" w:hAnsi="宋体" w:eastAsia="宋体" w:cs="宋体"/>
                <w:sz w:val="24"/>
                <w:highlight w:val="none"/>
              </w:rPr>
              <w:t xml:space="preserve">LDAP</w:t>
            </w:r>
            <w:r>
              <w:rPr>
                <w:rFonts w:hint="eastAsia" w:ascii="宋体" w:hAnsi="宋体" w:eastAsia="宋体" w:cs="宋体"/>
                <w:sz w:val="24"/>
                <w:highlight w:val="none"/>
              </w:rPr>
              <w:t xml:space="preserve">目录服务器数字证书自动同步功能；</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6.产品通过信息安全技术通用渗透测试检测条件</w:t>
            </w:r>
            <w:r>
              <w:rPr>
                <w:rFonts w:ascii="宋体" w:hAnsi="宋体" w:eastAsia="宋体" w:cs="宋体"/>
                <w:sz w:val="24"/>
                <w:highlight w:val="none"/>
              </w:rPr>
              <w:t xml:space="preserve">JCTJ 005-2016(6.2.1</w:t>
            </w:r>
            <w:r>
              <w:rPr>
                <w:rFonts w:hint="eastAsia" w:ascii="宋体" w:hAnsi="宋体" w:eastAsia="宋体" w:cs="宋体"/>
                <w:sz w:val="24"/>
                <w:highlight w:val="none"/>
              </w:rPr>
              <w:t xml:space="preserve">、</w:t>
            </w:r>
            <w:r>
              <w:rPr>
                <w:rFonts w:ascii="宋体" w:hAnsi="宋体" w:eastAsia="宋体" w:cs="宋体"/>
                <w:sz w:val="24"/>
                <w:highlight w:val="none"/>
              </w:rPr>
              <w:t xml:space="preserve">6.2.2)</w:t>
            </w:r>
            <w:r>
              <w:rPr>
                <w:rFonts w:hint="eastAsia" w:ascii="宋体" w:hAnsi="宋体" w:eastAsia="宋体" w:cs="宋体"/>
                <w:sz w:val="24"/>
                <w:highlight w:val="none"/>
              </w:rPr>
              <w:t xml:space="preserve">检测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7.支持</w:t>
            </w:r>
            <w:r>
              <w:rPr>
                <w:rFonts w:ascii="宋体" w:hAnsi="宋体" w:eastAsia="宋体" w:cs="宋体"/>
                <w:sz w:val="24"/>
                <w:highlight w:val="none"/>
              </w:rPr>
              <w:t xml:space="preserve">WEB</w:t>
            </w:r>
            <w:r>
              <w:rPr>
                <w:rFonts w:hint="eastAsia" w:ascii="宋体" w:hAnsi="宋体" w:eastAsia="宋体" w:cs="宋体"/>
                <w:sz w:val="24"/>
                <w:highlight w:val="none"/>
              </w:rPr>
              <w:t xml:space="preserve">界面两种管理方式，支持系统备份恢复；</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8.支持主从部署模式，支持双机配置自动同步；</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9.支持</w:t>
            </w:r>
            <w:r>
              <w:rPr>
                <w:rFonts w:ascii="宋体" w:hAnsi="宋体" w:eastAsia="宋体" w:cs="宋体"/>
                <w:sz w:val="24"/>
                <w:highlight w:val="none"/>
              </w:rPr>
              <w:t xml:space="preserve">SM2</w:t>
            </w:r>
            <w:r>
              <w:rPr>
                <w:rFonts w:hint="eastAsia" w:ascii="宋体" w:hAnsi="宋体" w:eastAsia="宋体" w:cs="宋体"/>
                <w:sz w:val="24"/>
                <w:highlight w:val="none"/>
              </w:rPr>
              <w:t xml:space="preserve">、</w:t>
            </w:r>
            <w:r>
              <w:rPr>
                <w:rFonts w:ascii="宋体" w:hAnsi="宋体" w:eastAsia="宋体" w:cs="宋体"/>
                <w:sz w:val="24"/>
                <w:highlight w:val="none"/>
              </w:rPr>
              <w:t xml:space="preserve">SM3</w:t>
            </w:r>
            <w:r>
              <w:rPr>
                <w:rFonts w:hint="eastAsia" w:ascii="宋体" w:hAnsi="宋体" w:eastAsia="宋体" w:cs="宋体"/>
                <w:sz w:val="24"/>
                <w:highlight w:val="none"/>
              </w:rPr>
              <w:t xml:space="preserve">、</w:t>
            </w:r>
            <w:r>
              <w:rPr>
                <w:rFonts w:ascii="宋体" w:hAnsi="宋体" w:eastAsia="宋体" w:cs="宋体"/>
                <w:sz w:val="24"/>
                <w:highlight w:val="none"/>
              </w:rPr>
              <w:t xml:space="preserve">SM4</w:t>
            </w:r>
            <w:r>
              <w:rPr>
                <w:rFonts w:hint="eastAsia" w:ascii="宋体" w:hAnsi="宋体" w:eastAsia="宋体" w:cs="宋体"/>
                <w:sz w:val="24"/>
                <w:highlight w:val="none"/>
              </w:rPr>
              <w:t xml:space="preserve">等国产密码算法</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管理登录须支持数字证书登录，支持用户访问操作行为审计；</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10.系统带宽≥</w:t>
            </w:r>
            <w:r>
              <w:rPr>
                <w:rFonts w:ascii="宋体" w:hAnsi="宋体" w:eastAsia="宋体" w:cs="宋体"/>
                <w:sz w:val="24"/>
                <w:highlight w:val="none"/>
              </w:rPr>
              <w:t xml:space="preserve">600Mbps</w:t>
            </w:r>
            <w:r>
              <w:rPr>
                <w:rFonts w:hint="eastAsia" w:ascii="宋体" w:hAnsi="宋体" w:eastAsia="宋体" w:cs="宋体"/>
                <w:sz w:val="24"/>
                <w:highlight w:val="none"/>
              </w:rPr>
              <w:t xml:space="preserve">，用户管理数≥</w:t>
            </w:r>
            <w:r>
              <w:rPr>
                <w:rFonts w:ascii="宋体" w:hAnsi="宋体" w:eastAsia="宋体" w:cs="宋体"/>
                <w:sz w:val="24"/>
                <w:highlight w:val="none"/>
              </w:rPr>
              <w:t xml:space="preserve">2000</w:t>
            </w:r>
            <w:r>
              <w:rPr>
                <w:rFonts w:hint="eastAsia" w:ascii="宋体" w:hAnsi="宋体" w:eastAsia="宋体" w:cs="宋体"/>
                <w:sz w:val="24"/>
                <w:highlight w:val="none"/>
              </w:rPr>
              <w:t xml:space="preserve">个</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11.</w:t>
            </w:r>
            <w:r>
              <w:rPr>
                <w:rFonts w:ascii="宋体" w:hAnsi="宋体" w:eastAsia="宋体" w:cs="宋体"/>
                <w:sz w:val="24"/>
                <w:highlight w:val="none"/>
              </w:rPr>
              <w:t xml:space="preserve">SM2</w:t>
            </w:r>
            <w:r>
              <w:rPr>
                <w:rFonts w:hint="eastAsia" w:ascii="宋体" w:hAnsi="宋体" w:eastAsia="宋体" w:cs="宋体"/>
                <w:sz w:val="24"/>
                <w:highlight w:val="none"/>
              </w:rPr>
              <w:t xml:space="preserve">证书签名速率≥</w:t>
            </w:r>
            <w:r>
              <w:rPr>
                <w:rFonts w:ascii="宋体" w:hAnsi="宋体" w:eastAsia="宋体" w:cs="宋体"/>
                <w:sz w:val="24"/>
                <w:highlight w:val="none"/>
              </w:rPr>
              <w:t xml:space="preserve">1.5</w:t>
            </w:r>
            <w:r>
              <w:rPr>
                <w:rFonts w:hint="eastAsia" w:ascii="宋体" w:hAnsi="宋体" w:eastAsia="宋体" w:cs="宋体"/>
                <w:sz w:val="24"/>
                <w:highlight w:val="none"/>
              </w:rPr>
              <w:t xml:space="preserve">万次</w:t>
            </w:r>
            <w:r>
              <w:rPr>
                <w:rFonts w:ascii="宋体" w:hAnsi="宋体" w:eastAsia="宋体" w:cs="宋体"/>
                <w:sz w:val="24"/>
                <w:highlight w:val="none"/>
              </w:rPr>
              <w:t xml:space="preserve">/</w:t>
            </w:r>
            <w:r>
              <w:rPr>
                <w:rFonts w:hint="eastAsia" w:ascii="宋体" w:hAnsi="宋体" w:eastAsia="宋体" w:cs="宋体"/>
                <w:sz w:val="24"/>
                <w:highlight w:val="none"/>
              </w:rPr>
              <w:t xml:space="preserve">秒，</w:t>
            </w:r>
            <w:r>
              <w:rPr>
                <w:rFonts w:ascii="宋体" w:hAnsi="宋体" w:eastAsia="宋体" w:cs="宋体"/>
                <w:sz w:val="24"/>
                <w:highlight w:val="none"/>
              </w:rPr>
              <w:t xml:space="preserve">SM2</w:t>
            </w:r>
            <w:r>
              <w:rPr>
                <w:rFonts w:hint="eastAsia" w:ascii="宋体" w:hAnsi="宋体" w:eastAsia="宋体" w:cs="宋体"/>
                <w:sz w:val="24"/>
                <w:highlight w:val="none"/>
              </w:rPr>
              <w:t xml:space="preserve">证书验签速率≥</w:t>
            </w:r>
            <w:r>
              <w:rPr>
                <w:rFonts w:ascii="宋体" w:hAnsi="宋体" w:eastAsia="宋体" w:cs="宋体"/>
                <w:sz w:val="24"/>
                <w:highlight w:val="none"/>
              </w:rPr>
              <w:t xml:space="preserve">1.2</w:t>
            </w:r>
            <w:r>
              <w:rPr>
                <w:rFonts w:hint="eastAsia" w:ascii="宋体" w:hAnsi="宋体" w:eastAsia="宋体" w:cs="宋体"/>
                <w:sz w:val="24"/>
                <w:highlight w:val="none"/>
              </w:rPr>
              <w:t xml:space="preserve">万次</w:t>
            </w:r>
            <w:r>
              <w:rPr>
                <w:rFonts w:ascii="宋体" w:hAnsi="宋体" w:eastAsia="宋体" w:cs="宋体"/>
                <w:sz w:val="24"/>
                <w:highlight w:val="none"/>
              </w:rPr>
              <w:t xml:space="preserve">/</w:t>
            </w:r>
            <w:r>
              <w:rPr>
                <w:rFonts w:hint="eastAsia" w:ascii="宋体" w:hAnsi="宋体" w:eastAsia="宋体" w:cs="宋体"/>
                <w:sz w:val="24"/>
                <w:highlight w:val="none"/>
              </w:rPr>
              <w:t xml:space="preserve">秒；</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12.采用旁路部署模式切断终端对网络和服务器资源的直接访问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tc>
      </w:tr>
      <w:tr>
        <w:trPr>
          <w:trHeight w:val="3685"/>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IPSec/SSL VPN 综合安全网关</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w:t>
            </w:r>
            <w:r>
              <w:rPr>
                <w:rFonts w:ascii="宋体" w:hAnsi="宋体" w:eastAsia="宋体" w:cs="宋体"/>
                <w:sz w:val="24"/>
                <w:highlight w:val="none"/>
              </w:rPr>
              <w:t xml:space="preserve">.</w:t>
            </w:r>
            <w:r>
              <w:rPr>
                <w:rFonts w:hint="eastAsia" w:ascii="宋体" w:hAnsi="宋体" w:eastAsia="宋体" w:cs="宋体"/>
                <w:sz w:val="24"/>
                <w:highlight w:val="none"/>
              </w:rPr>
              <w:t xml:space="preserve">采用国产化硬件平台</w:t>
            </w:r>
            <w:r>
              <w:rPr>
                <w:rFonts w:ascii="宋体" w:hAnsi="宋体" w:eastAsia="宋体" w:cs="宋体"/>
                <w:sz w:val="24"/>
                <w:highlight w:val="none"/>
              </w:rPr>
              <w:t xml:space="preserve">,</w:t>
            </w:r>
            <w:r>
              <w:rPr>
                <w:rFonts w:hint="eastAsia" w:ascii="宋体" w:hAnsi="宋体" w:eastAsia="宋体" w:cs="宋体"/>
                <w:sz w:val="24"/>
                <w:highlight w:val="none"/>
              </w:rPr>
              <w:t xml:space="preserve">≥</w:t>
            </w:r>
            <w:r>
              <w:rPr>
                <w:rFonts w:ascii="宋体" w:hAnsi="宋体" w:eastAsia="宋体" w:cs="宋体"/>
                <w:sz w:val="24"/>
                <w:highlight w:val="none"/>
              </w:rPr>
              <w:t xml:space="preserve">2U</w:t>
            </w:r>
            <w:r>
              <w:rPr>
                <w:rFonts w:hint="eastAsia" w:ascii="宋体" w:hAnsi="宋体" w:eastAsia="宋体" w:cs="宋体"/>
                <w:sz w:val="24"/>
                <w:highlight w:val="none"/>
              </w:rPr>
              <w:t xml:space="preserve">标准架式结构，≥</w:t>
            </w:r>
            <w:r>
              <w:rPr>
                <w:rFonts w:ascii="宋体" w:hAnsi="宋体" w:eastAsia="宋体" w:cs="宋体"/>
                <w:sz w:val="24"/>
                <w:highlight w:val="none"/>
              </w:rPr>
              <w:t xml:space="preserve">6</w:t>
            </w:r>
            <w:r>
              <w:rPr>
                <w:rFonts w:hint="eastAsia" w:ascii="宋体" w:hAnsi="宋体" w:eastAsia="宋体" w:cs="宋体"/>
                <w:sz w:val="24"/>
                <w:highlight w:val="none"/>
              </w:rPr>
              <w:t xml:space="preserve">个电口，≥</w:t>
            </w:r>
            <w:r>
              <w:rPr>
                <w:rFonts w:ascii="宋体" w:hAnsi="宋体" w:eastAsia="宋体" w:cs="宋体"/>
                <w:sz w:val="24"/>
                <w:highlight w:val="none"/>
              </w:rPr>
              <w:t xml:space="preserve">2</w:t>
            </w:r>
            <w:r>
              <w:rPr>
                <w:rFonts w:hint="eastAsia" w:ascii="宋体" w:hAnsi="宋体" w:eastAsia="宋体" w:cs="宋体"/>
                <w:sz w:val="24"/>
                <w:highlight w:val="none"/>
              </w:rPr>
              <w:t xml:space="preserve">个</w:t>
            </w:r>
            <w:r>
              <w:rPr>
                <w:rFonts w:ascii="宋体" w:hAnsi="宋体" w:eastAsia="宋体" w:cs="宋体"/>
                <w:sz w:val="24"/>
                <w:highlight w:val="none"/>
              </w:rPr>
              <w:t xml:space="preserve">10G</w:t>
            </w:r>
            <w:r>
              <w:rPr>
                <w:rFonts w:hint="eastAsia" w:ascii="宋体" w:hAnsi="宋体" w:eastAsia="宋体" w:cs="宋体"/>
                <w:sz w:val="24"/>
                <w:highlight w:val="none"/>
              </w:rPr>
              <w:t xml:space="preserve">光口，冗余电源；</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ascii="宋体" w:hAnsi="宋体" w:eastAsia="宋体" w:cs="宋体"/>
                <w:sz w:val="24"/>
                <w:highlight w:val="none"/>
              </w:rPr>
              <w:t xml:space="preserve">.</w:t>
            </w:r>
            <w:r>
              <w:rPr>
                <w:rFonts w:hint="eastAsia" w:ascii="宋体" w:hAnsi="宋体" w:eastAsia="宋体" w:cs="宋体"/>
                <w:sz w:val="24"/>
                <w:highlight w:val="none"/>
              </w:rPr>
              <w:t xml:space="preserve">支持管理员数字证书认证，支持管理员三权分立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3</w:t>
            </w:r>
            <w:r>
              <w:rPr>
                <w:rFonts w:ascii="宋体" w:hAnsi="宋体" w:eastAsia="宋体" w:cs="宋体"/>
                <w:sz w:val="24"/>
                <w:highlight w:val="none"/>
              </w:rPr>
              <w:t xml:space="preserve">.</w:t>
            </w:r>
            <w:r>
              <w:rPr>
                <w:rFonts w:hint="eastAsia" w:ascii="宋体" w:hAnsi="宋体" w:eastAsia="宋体" w:cs="宋体"/>
                <w:sz w:val="24"/>
                <w:highlight w:val="none"/>
              </w:rPr>
              <w:t xml:space="preserve">支持国密</w:t>
            </w:r>
            <w:r>
              <w:rPr>
                <w:rFonts w:ascii="宋体" w:hAnsi="宋体" w:eastAsia="宋体" w:cs="宋体"/>
                <w:sz w:val="24"/>
                <w:highlight w:val="none"/>
              </w:rPr>
              <w:t xml:space="preserve">SSL</w:t>
            </w:r>
            <w:r>
              <w:rPr>
                <w:rFonts w:hint="eastAsia" w:ascii="宋体" w:hAnsi="宋体" w:eastAsia="宋体" w:cs="宋体"/>
                <w:sz w:val="24"/>
                <w:highlight w:val="none"/>
              </w:rPr>
              <w:t xml:space="preserve">单向及双向认证功能，支持主流国际协议，包括但不限于</w:t>
            </w:r>
            <w:r>
              <w:rPr>
                <w:rFonts w:ascii="宋体" w:hAnsi="宋体" w:eastAsia="宋体" w:cs="宋体"/>
                <w:sz w:val="24"/>
                <w:highlight w:val="none"/>
              </w:rPr>
              <w:t xml:space="preserve">SSL3.0</w:t>
            </w:r>
            <w:r>
              <w:rPr>
                <w:rFonts w:hint="eastAsia" w:ascii="宋体" w:hAnsi="宋体" w:eastAsia="宋体" w:cs="宋体"/>
                <w:sz w:val="24"/>
                <w:highlight w:val="none"/>
              </w:rPr>
              <w:t xml:space="preserve">、</w:t>
            </w:r>
            <w:r>
              <w:rPr>
                <w:rFonts w:ascii="宋体" w:hAnsi="宋体" w:eastAsia="宋体" w:cs="宋体"/>
                <w:sz w:val="24"/>
                <w:highlight w:val="none"/>
              </w:rPr>
              <w:t xml:space="preserve">TLS1.0</w:t>
            </w:r>
            <w:r>
              <w:rPr>
                <w:rFonts w:hint="eastAsia" w:ascii="宋体" w:hAnsi="宋体" w:eastAsia="宋体" w:cs="宋体"/>
                <w:sz w:val="24"/>
                <w:highlight w:val="none"/>
              </w:rPr>
              <w:t xml:space="preserve">、</w:t>
            </w:r>
            <w:r>
              <w:rPr>
                <w:rFonts w:ascii="宋体" w:hAnsi="宋体" w:eastAsia="宋体" w:cs="宋体"/>
                <w:sz w:val="24"/>
                <w:highlight w:val="none"/>
              </w:rPr>
              <w:t xml:space="preserve">TLS1.1</w:t>
            </w:r>
            <w:r>
              <w:rPr>
                <w:rFonts w:hint="eastAsia" w:ascii="宋体" w:hAnsi="宋体" w:eastAsia="宋体" w:cs="宋体"/>
                <w:sz w:val="24"/>
                <w:highlight w:val="none"/>
              </w:rPr>
              <w:t xml:space="preserve">、</w:t>
            </w:r>
            <w:r>
              <w:rPr>
                <w:rFonts w:ascii="宋体" w:hAnsi="宋体" w:eastAsia="宋体" w:cs="宋体"/>
                <w:sz w:val="24"/>
                <w:highlight w:val="none"/>
              </w:rPr>
              <w:t xml:space="preserve">TLS1.2</w:t>
            </w:r>
            <w:r>
              <w:rPr>
                <w:rFonts w:hint="eastAsia" w:ascii="宋体" w:hAnsi="宋体" w:eastAsia="宋体" w:cs="宋体"/>
                <w:sz w:val="24"/>
                <w:highlight w:val="none"/>
              </w:rPr>
              <w:t xml:space="preserve">、</w:t>
            </w:r>
            <w:r>
              <w:rPr>
                <w:rFonts w:ascii="宋体" w:hAnsi="宋体" w:eastAsia="宋体" w:cs="宋体"/>
                <w:sz w:val="24"/>
                <w:highlight w:val="none"/>
              </w:rPr>
              <w:t xml:space="preserve">TLS1.3</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4</w:t>
            </w:r>
            <w:r>
              <w:rPr>
                <w:rFonts w:ascii="宋体" w:hAnsi="宋体" w:eastAsia="宋体" w:cs="宋体"/>
                <w:sz w:val="24"/>
                <w:highlight w:val="none"/>
              </w:rPr>
              <w:t xml:space="preserve">.</w:t>
            </w:r>
            <w:r>
              <w:rPr>
                <w:rFonts w:hint="eastAsia" w:ascii="宋体" w:hAnsi="宋体" w:eastAsia="宋体" w:cs="宋体"/>
                <w:sz w:val="24"/>
                <w:highlight w:val="none"/>
              </w:rPr>
              <w:t xml:space="preserve">客户端支持主流</w:t>
            </w:r>
            <w:r>
              <w:rPr>
                <w:rFonts w:ascii="宋体" w:hAnsi="宋体" w:eastAsia="宋体" w:cs="宋体"/>
                <w:sz w:val="24"/>
                <w:highlight w:val="none"/>
              </w:rPr>
              <w:t xml:space="preserve">Window</w:t>
            </w:r>
            <w:r>
              <w:rPr>
                <w:rFonts w:hint="eastAsia" w:ascii="宋体" w:hAnsi="宋体" w:eastAsia="宋体" w:cs="宋体"/>
                <w:sz w:val="24"/>
                <w:highlight w:val="none"/>
              </w:rPr>
              <w:t xml:space="preserve">平台</w:t>
            </w:r>
            <w:r>
              <w:rPr>
                <w:rFonts w:ascii="宋体" w:hAnsi="宋体" w:eastAsia="宋体" w:cs="宋体"/>
                <w:sz w:val="24"/>
                <w:highlight w:val="none"/>
              </w:rPr>
              <w:t xml:space="preserve">/</w:t>
            </w:r>
            <w:r>
              <w:rPr>
                <w:rFonts w:hint="eastAsia" w:ascii="宋体" w:hAnsi="宋体" w:eastAsia="宋体" w:cs="宋体"/>
                <w:sz w:val="24"/>
                <w:highlight w:val="none"/>
              </w:rPr>
              <w:t xml:space="preserve">龙芯</w:t>
            </w:r>
            <w:r>
              <w:rPr>
                <w:rFonts w:ascii="宋体" w:hAnsi="宋体" w:eastAsia="宋体" w:cs="宋体"/>
                <w:sz w:val="24"/>
                <w:highlight w:val="none"/>
              </w:rPr>
              <w:t xml:space="preserve">/</w:t>
            </w:r>
            <w:r>
              <w:rPr>
                <w:rFonts w:hint="eastAsia" w:ascii="宋体" w:hAnsi="宋体" w:eastAsia="宋体" w:cs="宋体"/>
                <w:sz w:val="24"/>
                <w:highlight w:val="none"/>
              </w:rPr>
              <w:t xml:space="preserve">飞腾等国产</w:t>
            </w:r>
            <w:r>
              <w:rPr>
                <w:rFonts w:hint="eastAsia" w:ascii="宋体" w:hAnsi="宋体" w:eastAsia="宋体" w:cs="宋体"/>
                <w:sz w:val="24"/>
                <w:highlight w:val="none"/>
                <w:lang w:val="en-US" w:eastAsia="zh-CN"/>
              </w:rPr>
              <w:t xml:space="preserve">化</w:t>
            </w:r>
            <w:r>
              <w:rPr>
                <w:rFonts w:hint="eastAsia" w:ascii="宋体" w:hAnsi="宋体" w:eastAsia="宋体" w:cs="宋体"/>
                <w:sz w:val="24"/>
                <w:highlight w:val="none"/>
              </w:rPr>
              <w:t xml:space="preserve">平台；支持不同厂商智能密码钥匙认证；支持终端和用户绑定；</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5</w:t>
            </w:r>
            <w:r>
              <w:rPr>
                <w:rFonts w:ascii="宋体" w:hAnsi="宋体" w:eastAsia="宋体" w:cs="宋体"/>
                <w:sz w:val="24"/>
                <w:highlight w:val="none"/>
              </w:rPr>
              <w:t xml:space="preserve">.</w:t>
            </w:r>
            <w:r>
              <w:rPr>
                <w:rFonts w:hint="eastAsia" w:ascii="宋体" w:hAnsi="宋体" w:eastAsia="宋体" w:cs="宋体"/>
                <w:sz w:val="24"/>
                <w:highlight w:val="none"/>
              </w:rPr>
              <w:t xml:space="preserve">提供图形化的配置管理界面；支持对资源方向、使用协议、访问</w:t>
            </w:r>
            <w:r>
              <w:rPr>
                <w:rFonts w:ascii="宋体" w:hAnsi="宋体" w:eastAsia="宋体" w:cs="宋体"/>
                <w:sz w:val="24"/>
                <w:highlight w:val="none"/>
              </w:rPr>
              <w:t xml:space="preserve">IP</w:t>
            </w:r>
            <w:r>
              <w:rPr>
                <w:rFonts w:hint="eastAsia" w:ascii="宋体" w:hAnsi="宋体" w:eastAsia="宋体" w:cs="宋体"/>
                <w:sz w:val="24"/>
                <w:highlight w:val="none"/>
              </w:rPr>
              <w:t xml:space="preserve">、访问端口、资源路径、目标</w:t>
            </w:r>
            <w:r>
              <w:rPr>
                <w:rFonts w:ascii="宋体" w:hAnsi="宋体" w:eastAsia="宋体" w:cs="宋体"/>
                <w:sz w:val="24"/>
                <w:highlight w:val="none"/>
              </w:rPr>
              <w:t xml:space="preserve">IP</w:t>
            </w:r>
            <w:r>
              <w:rPr>
                <w:rFonts w:hint="eastAsia" w:ascii="宋体" w:hAnsi="宋体" w:eastAsia="宋体" w:cs="宋体"/>
                <w:sz w:val="24"/>
                <w:highlight w:val="none"/>
              </w:rPr>
              <w:t xml:space="preserve">及端口、是否启用</w:t>
            </w:r>
            <w:r>
              <w:rPr>
                <w:rFonts w:ascii="宋体" w:hAnsi="宋体" w:eastAsia="宋体" w:cs="宋体"/>
                <w:sz w:val="24"/>
                <w:highlight w:val="none"/>
              </w:rPr>
              <w:t xml:space="preserve">URL</w:t>
            </w:r>
            <w:r>
              <w:rPr>
                <w:rFonts w:hint="eastAsia" w:ascii="宋体" w:hAnsi="宋体" w:eastAsia="宋体" w:cs="宋体"/>
                <w:sz w:val="24"/>
                <w:highlight w:val="none"/>
              </w:rPr>
              <w:t xml:space="preserve">访问控制进行设定；</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6</w:t>
            </w:r>
            <w:r>
              <w:rPr>
                <w:rFonts w:ascii="宋体" w:hAnsi="宋体" w:eastAsia="宋体" w:cs="宋体"/>
                <w:sz w:val="24"/>
                <w:highlight w:val="none"/>
              </w:rPr>
              <w:t xml:space="preserve">.</w:t>
            </w:r>
            <w:r>
              <w:rPr>
                <w:rFonts w:hint="eastAsia" w:ascii="宋体" w:hAnsi="宋体" w:eastAsia="宋体" w:cs="宋体"/>
                <w:sz w:val="24"/>
                <w:highlight w:val="none"/>
              </w:rPr>
              <w:t xml:space="preserve">支持信息审计功能，能够对用户对系统的访问进行详细的记录和审计；</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7</w:t>
            </w:r>
            <w:r>
              <w:rPr>
                <w:rFonts w:ascii="宋体" w:hAnsi="宋体" w:eastAsia="宋体" w:cs="宋体"/>
                <w:sz w:val="24"/>
                <w:highlight w:val="none"/>
              </w:rPr>
              <w:t xml:space="preserve">.</w:t>
            </w:r>
            <w:r>
              <w:rPr>
                <w:rFonts w:hint="eastAsia" w:ascii="宋体" w:hAnsi="宋体" w:eastAsia="宋体" w:cs="宋体"/>
                <w:sz w:val="24"/>
                <w:highlight w:val="none"/>
              </w:rPr>
              <w:t xml:space="preserve">加解密吞吐率：≥</w:t>
            </w:r>
            <w:r>
              <w:rPr>
                <w:rFonts w:ascii="宋体" w:hAnsi="宋体" w:eastAsia="宋体" w:cs="宋体"/>
                <w:sz w:val="24"/>
                <w:highlight w:val="none"/>
              </w:rPr>
              <w:t xml:space="preserve">500Mbps</w:t>
            </w:r>
            <w:r>
              <w:rPr>
                <w:rFonts w:hint="eastAsia" w:ascii="宋体" w:hAnsi="宋体" w:eastAsia="宋体" w:cs="宋体"/>
                <w:sz w:val="24"/>
                <w:highlight w:val="none"/>
              </w:rPr>
              <w:t xml:space="preserve">，转发时延：≤</w:t>
            </w:r>
            <w:r>
              <w:rPr>
                <w:rFonts w:ascii="宋体" w:hAnsi="宋体" w:eastAsia="宋体" w:cs="宋体"/>
                <w:sz w:val="24"/>
                <w:highlight w:val="none"/>
              </w:rPr>
              <w:t xml:space="preserve">0.3ms</w:t>
            </w:r>
            <w:r>
              <w:rPr>
                <w:rFonts w:hint="eastAsia" w:ascii="宋体" w:hAnsi="宋体" w:eastAsia="宋体" w:cs="宋体"/>
                <w:sz w:val="24"/>
                <w:highlight w:val="none"/>
              </w:rPr>
              <w:t xml:space="preserve">，最大并发用户数：≥</w:t>
            </w:r>
            <w:r>
              <w:rPr>
                <w:rFonts w:ascii="宋体" w:hAnsi="宋体" w:eastAsia="宋体" w:cs="宋体"/>
                <w:sz w:val="24"/>
                <w:highlight w:val="none"/>
              </w:rPr>
              <w:t xml:space="preserve">2000</w:t>
            </w:r>
            <w:r>
              <w:rPr>
                <w:rFonts w:hint="eastAsia" w:ascii="宋体" w:hAnsi="宋体" w:eastAsia="宋体" w:cs="宋体"/>
                <w:sz w:val="24"/>
                <w:highlight w:val="none"/>
              </w:rPr>
              <w:t xml:space="preserve">，最大并发连接数：≥</w:t>
            </w:r>
            <w:r>
              <w:rPr>
                <w:rFonts w:ascii="宋体" w:hAnsi="宋体" w:eastAsia="宋体" w:cs="宋体"/>
                <w:sz w:val="24"/>
                <w:highlight w:val="none"/>
              </w:rPr>
              <w:t xml:space="preserve">2000</w:t>
            </w:r>
            <w:r>
              <w:rPr>
                <w:rFonts w:hint="eastAsia" w:ascii="宋体" w:hAnsi="宋体" w:eastAsia="宋体" w:cs="宋体"/>
                <w:sz w:val="24"/>
                <w:highlight w:val="none"/>
              </w:rPr>
              <w:t xml:space="preserve">，每秒新建连接数：≥</w:t>
            </w:r>
            <w:r>
              <w:rPr>
                <w:rFonts w:ascii="宋体" w:hAnsi="宋体" w:eastAsia="宋体" w:cs="宋体"/>
                <w:sz w:val="24"/>
                <w:highlight w:val="none"/>
              </w:rPr>
              <w:t xml:space="preserve">100</w:t>
            </w:r>
            <w:r>
              <w:rPr>
                <w:rFonts w:hint="eastAsia" w:ascii="宋体" w:hAnsi="宋体" w:eastAsia="宋体" w:cs="宋体"/>
                <w:sz w:val="24"/>
                <w:highlight w:val="none"/>
              </w:rPr>
              <w:t xml:space="preserve">，管理最大资源条目数：≥</w:t>
            </w:r>
            <w:r>
              <w:rPr>
                <w:rFonts w:ascii="宋体" w:hAnsi="宋体" w:eastAsia="宋体" w:cs="宋体"/>
                <w:sz w:val="24"/>
                <w:highlight w:val="none"/>
              </w:rPr>
              <w:t xml:space="preserve">1024</w:t>
            </w:r>
            <w:r>
              <w:rPr>
                <w:rFonts w:hint="eastAsia" w:ascii="宋体" w:hAnsi="宋体" w:eastAsia="宋体" w:cs="宋体"/>
                <w:sz w:val="24"/>
                <w:highlight w:val="none"/>
              </w:rPr>
              <w:t xml:space="preserve">，管理最大用户组数：≥</w:t>
            </w:r>
            <w:r>
              <w:rPr>
                <w:rFonts w:ascii="宋体" w:hAnsi="宋体" w:eastAsia="宋体" w:cs="宋体"/>
                <w:sz w:val="24"/>
                <w:highlight w:val="none"/>
              </w:rPr>
              <w:t xml:space="preserve">512</w:t>
            </w:r>
            <w:r>
              <w:rPr>
                <w:rFonts w:hint="eastAsia" w:ascii="宋体" w:hAnsi="宋体" w:eastAsia="宋体" w:cs="宋体"/>
                <w:sz w:val="24"/>
                <w:highlight w:val="none"/>
              </w:rPr>
              <w:t xml:space="preserve">，管理最大用户数：≥</w:t>
            </w:r>
            <w:r>
              <w:rPr>
                <w:rFonts w:ascii="宋体" w:hAnsi="宋体" w:eastAsia="宋体" w:cs="宋体"/>
                <w:sz w:val="24"/>
                <w:highlight w:val="none"/>
              </w:rPr>
              <w:t xml:space="preserve">10000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tc>
      </w:tr>
      <w:tr>
        <w:trPr>
          <w:trHeight w:val="1938"/>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数据库加密机</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1.采用国产化硬件平台</w:t>
            </w:r>
            <w:r>
              <w:rPr>
                <w:rFonts w:ascii="宋体" w:hAnsi="宋体" w:eastAsia="宋体" w:cs="宋体"/>
                <w:sz w:val="24"/>
                <w:highlight w:val="none"/>
              </w:rPr>
              <w:t xml:space="preserve">,</w:t>
            </w:r>
            <w:r>
              <w:rPr>
                <w:rFonts w:hint="eastAsia" w:ascii="宋体" w:hAnsi="宋体" w:eastAsia="宋体" w:cs="宋体"/>
                <w:sz w:val="24"/>
                <w:highlight w:val="none"/>
              </w:rPr>
              <w:t xml:space="preserve">标准</w:t>
            </w:r>
            <w:r>
              <w:rPr>
                <w:rFonts w:ascii="宋体" w:hAnsi="宋体" w:eastAsia="宋体" w:cs="宋体"/>
                <w:sz w:val="24"/>
                <w:highlight w:val="none"/>
              </w:rPr>
              <w:t xml:space="preserve">2U</w:t>
            </w:r>
            <w:r>
              <w:rPr>
                <w:rFonts w:hint="eastAsia" w:ascii="宋体" w:hAnsi="宋体" w:eastAsia="宋体" w:cs="宋体"/>
                <w:sz w:val="24"/>
                <w:highlight w:val="none"/>
              </w:rPr>
              <w:t xml:space="preserve">机架型设备，冗余电源，电口≥</w:t>
            </w:r>
            <w:r>
              <w:rPr>
                <w:rFonts w:ascii="宋体" w:hAnsi="宋体" w:eastAsia="宋体" w:cs="宋体"/>
                <w:sz w:val="24"/>
                <w:highlight w:val="none"/>
              </w:rPr>
              <w:t xml:space="preserve">2</w:t>
            </w:r>
            <w:r>
              <w:rPr>
                <w:rFonts w:hint="eastAsia" w:ascii="宋体" w:hAnsi="宋体" w:eastAsia="宋体" w:cs="宋体"/>
                <w:sz w:val="24"/>
                <w:highlight w:val="none"/>
              </w:rPr>
              <w:t xml:space="preserve">以上</w:t>
            </w:r>
            <w:r>
              <w:rPr>
                <w:rFonts w:ascii="宋体" w:hAnsi="宋体" w:eastAsia="宋体" w:cs="宋体"/>
                <w:sz w:val="24"/>
                <w:highlight w:val="none"/>
              </w:rPr>
              <w:t xml:space="preserve">10/100/1000M </w:t>
            </w:r>
            <w:r>
              <w:rPr>
                <w:rFonts w:hint="eastAsia" w:ascii="宋体" w:hAnsi="宋体" w:eastAsia="宋体" w:cs="宋体"/>
                <w:sz w:val="24"/>
                <w:highlight w:val="none"/>
              </w:rPr>
              <w:t xml:space="preserve">，内置高性能</w:t>
            </w:r>
            <w:r>
              <w:rPr>
                <w:rFonts w:ascii="宋体" w:hAnsi="宋体" w:eastAsia="宋体" w:cs="宋体"/>
                <w:sz w:val="24"/>
                <w:highlight w:val="none"/>
              </w:rPr>
              <w:t xml:space="preserve">PCI-E</w:t>
            </w:r>
            <w:r>
              <w:rPr>
                <w:rFonts w:hint="eastAsia" w:ascii="宋体" w:hAnsi="宋体" w:eastAsia="宋体" w:cs="宋体"/>
                <w:sz w:val="24"/>
                <w:highlight w:val="none"/>
              </w:rPr>
              <w:t xml:space="preserve">密码卡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2.为支持不同的数据库、不同的应用场景需求，要求支持四种数据库加密模式：</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3.支持数据在应用层加密，采用以应用系统集成</w:t>
            </w:r>
            <w:r>
              <w:rPr>
                <w:rFonts w:ascii="宋体" w:hAnsi="宋体" w:eastAsia="宋体" w:cs="宋体"/>
                <w:sz w:val="24"/>
                <w:highlight w:val="none"/>
              </w:rPr>
              <w:t xml:space="preserve">JDBC</w:t>
            </w:r>
            <w:r>
              <w:rPr>
                <w:rFonts w:hint="eastAsia" w:ascii="宋体" w:hAnsi="宋体" w:eastAsia="宋体" w:cs="宋体"/>
                <w:sz w:val="24"/>
                <w:highlight w:val="none"/>
              </w:rPr>
              <w:t xml:space="preserve">加密库的方式实现数据库加密，包括但不限于</w:t>
            </w:r>
            <w:r>
              <w:rPr>
                <w:rFonts w:ascii="宋体" w:hAnsi="宋体" w:eastAsia="宋体" w:cs="宋体"/>
                <w:sz w:val="24"/>
                <w:highlight w:val="none"/>
              </w:rPr>
              <w:t xml:space="preserve">MySQL</w:t>
            </w:r>
            <w:r>
              <w:rPr>
                <w:rFonts w:hint="eastAsia" w:ascii="宋体" w:hAnsi="宋体" w:eastAsia="宋体" w:cs="宋体"/>
                <w:sz w:val="24"/>
                <w:highlight w:val="none"/>
              </w:rPr>
              <w:t xml:space="preserve">、</w:t>
            </w:r>
            <w:r>
              <w:rPr>
                <w:rFonts w:ascii="宋体" w:hAnsi="宋体" w:eastAsia="宋体" w:cs="宋体"/>
                <w:sz w:val="24"/>
                <w:highlight w:val="none"/>
              </w:rPr>
              <w:t xml:space="preserve">MariaDB</w:t>
            </w:r>
            <w:r>
              <w:rPr>
                <w:rFonts w:hint="eastAsia" w:ascii="宋体" w:hAnsi="宋体" w:eastAsia="宋体" w:cs="宋体"/>
                <w:sz w:val="24"/>
                <w:highlight w:val="none"/>
              </w:rPr>
              <w:t xml:space="preserve">、</w:t>
            </w:r>
            <w:r>
              <w:rPr>
                <w:rFonts w:ascii="宋体" w:hAnsi="宋体" w:eastAsia="宋体" w:cs="宋体"/>
                <w:sz w:val="24"/>
                <w:highlight w:val="none"/>
              </w:rPr>
              <w:t xml:space="preserve">Oracle</w:t>
            </w:r>
            <w:r>
              <w:rPr>
                <w:rFonts w:hint="eastAsia" w:ascii="宋体" w:hAnsi="宋体" w:eastAsia="宋体" w:cs="宋体"/>
                <w:sz w:val="24"/>
                <w:highlight w:val="none"/>
              </w:rPr>
              <w:t xml:space="preserve">、</w:t>
            </w:r>
            <w:r>
              <w:rPr>
                <w:rFonts w:ascii="宋体" w:hAnsi="宋体" w:eastAsia="宋体" w:cs="宋体"/>
                <w:sz w:val="24"/>
                <w:highlight w:val="none"/>
              </w:rPr>
              <w:t xml:space="preserve">PostgreSQL</w:t>
            </w:r>
            <w:r>
              <w:rPr>
                <w:rFonts w:hint="eastAsia" w:ascii="宋体" w:hAnsi="宋体" w:eastAsia="宋体" w:cs="宋体"/>
                <w:sz w:val="24"/>
                <w:highlight w:val="none"/>
              </w:rPr>
              <w:t xml:space="preserve">、</w:t>
            </w:r>
            <w:r>
              <w:rPr>
                <w:rFonts w:ascii="宋体" w:hAnsi="宋体" w:eastAsia="宋体" w:cs="宋体"/>
                <w:sz w:val="24"/>
                <w:highlight w:val="none"/>
              </w:rPr>
              <w:t xml:space="preserve">Informix</w:t>
            </w:r>
            <w:r>
              <w:rPr>
                <w:rFonts w:hint="eastAsia" w:ascii="宋体" w:hAnsi="宋体" w:eastAsia="宋体" w:cs="宋体"/>
                <w:sz w:val="24"/>
                <w:highlight w:val="none"/>
              </w:rPr>
              <w:t xml:space="preserve">、</w:t>
            </w:r>
            <w:r>
              <w:rPr>
                <w:rFonts w:ascii="宋体" w:hAnsi="宋体" w:eastAsia="宋体" w:cs="宋体"/>
                <w:sz w:val="24"/>
                <w:highlight w:val="none"/>
              </w:rPr>
              <w:t xml:space="preserve">DB2</w:t>
            </w:r>
            <w:r>
              <w:rPr>
                <w:rFonts w:hint="eastAsia" w:ascii="宋体" w:hAnsi="宋体" w:eastAsia="宋体" w:cs="宋体"/>
                <w:sz w:val="24"/>
                <w:highlight w:val="none"/>
              </w:rPr>
              <w:t xml:space="preserve">、达梦、人大金仓、神通、南大通用等数据库；</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4.支持</w:t>
            </w:r>
            <w:r>
              <w:rPr>
                <w:rFonts w:ascii="宋体" w:hAnsi="宋体" w:eastAsia="宋体" w:cs="宋体"/>
                <w:sz w:val="24"/>
                <w:highlight w:val="none"/>
              </w:rPr>
              <w:t xml:space="preserve">MySQL</w:t>
            </w:r>
            <w:r>
              <w:rPr>
                <w:rFonts w:hint="eastAsia" w:ascii="宋体" w:hAnsi="宋体" w:eastAsia="宋体" w:cs="宋体"/>
                <w:sz w:val="24"/>
                <w:highlight w:val="none"/>
              </w:rPr>
              <w:t xml:space="preserve">、</w:t>
            </w:r>
            <w:r>
              <w:rPr>
                <w:rFonts w:ascii="宋体" w:hAnsi="宋体" w:eastAsia="宋体" w:cs="宋体"/>
                <w:sz w:val="24"/>
                <w:highlight w:val="none"/>
              </w:rPr>
              <w:t xml:space="preserve">MariaDB</w:t>
            </w:r>
            <w:r>
              <w:rPr>
                <w:rFonts w:hint="eastAsia" w:ascii="宋体" w:hAnsi="宋体" w:eastAsia="宋体" w:cs="宋体"/>
                <w:sz w:val="24"/>
                <w:highlight w:val="none"/>
              </w:rPr>
              <w:t xml:space="preserve">、</w:t>
            </w:r>
            <w:r>
              <w:rPr>
                <w:rFonts w:ascii="宋体" w:hAnsi="宋体" w:eastAsia="宋体" w:cs="宋体"/>
                <w:sz w:val="24"/>
                <w:highlight w:val="none"/>
              </w:rPr>
              <w:t xml:space="preserve">PostgreSQL</w:t>
            </w:r>
            <w:r>
              <w:rPr>
                <w:rFonts w:hint="eastAsia" w:ascii="宋体" w:hAnsi="宋体" w:eastAsia="宋体" w:cs="宋体"/>
                <w:sz w:val="24"/>
                <w:highlight w:val="none"/>
              </w:rPr>
              <w:t xml:space="preserve">的库加密</w:t>
            </w:r>
            <w:r>
              <w:rPr>
                <w:rFonts w:ascii="宋体" w:hAnsi="宋体" w:eastAsia="宋体" w:cs="宋体"/>
                <w:sz w:val="24"/>
                <w:highlight w:val="none"/>
              </w:rPr>
              <w:t xml:space="preserve">/</w:t>
            </w:r>
            <w:r>
              <w:rPr>
                <w:rFonts w:hint="eastAsia" w:ascii="宋体" w:hAnsi="宋体" w:eastAsia="宋体" w:cs="宋体"/>
                <w:sz w:val="24"/>
                <w:highlight w:val="none"/>
              </w:rPr>
              <w:t xml:space="preserve">表加密模式；</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5.支持</w:t>
            </w:r>
            <w:r>
              <w:rPr>
                <w:rFonts w:ascii="宋体" w:hAnsi="宋体" w:eastAsia="宋体" w:cs="宋体"/>
                <w:sz w:val="24"/>
                <w:highlight w:val="none"/>
              </w:rPr>
              <w:t xml:space="preserve">Oracle</w:t>
            </w:r>
            <w:r>
              <w:rPr>
                <w:rFonts w:hint="eastAsia" w:ascii="宋体" w:hAnsi="宋体" w:eastAsia="宋体" w:cs="宋体"/>
                <w:sz w:val="24"/>
                <w:highlight w:val="none"/>
              </w:rPr>
              <w:t xml:space="preserve">、</w:t>
            </w:r>
            <w:r>
              <w:rPr>
                <w:rFonts w:ascii="宋体" w:hAnsi="宋体" w:eastAsia="宋体" w:cs="宋体"/>
                <w:sz w:val="24"/>
                <w:highlight w:val="none"/>
              </w:rPr>
              <w:t xml:space="preserve">SQLServer</w:t>
            </w:r>
            <w:r>
              <w:rPr>
                <w:rFonts w:hint="eastAsia" w:ascii="宋体" w:hAnsi="宋体" w:eastAsia="宋体" w:cs="宋体"/>
                <w:sz w:val="24"/>
                <w:highlight w:val="none"/>
              </w:rPr>
              <w:t xml:space="preserve">、</w:t>
            </w:r>
            <w:r>
              <w:rPr>
                <w:rFonts w:ascii="宋体" w:hAnsi="宋体" w:eastAsia="宋体" w:cs="宋体"/>
                <w:sz w:val="24"/>
                <w:highlight w:val="none"/>
              </w:rPr>
              <w:t xml:space="preserve">PostgreSQL</w:t>
            </w:r>
            <w:r>
              <w:rPr>
                <w:rFonts w:hint="eastAsia" w:ascii="宋体" w:hAnsi="宋体" w:eastAsia="宋体" w:cs="宋体"/>
                <w:sz w:val="24"/>
                <w:highlight w:val="none"/>
              </w:rPr>
              <w:t xml:space="preserve">、达梦、人大金仓、神通、南大通用等数据库的后置扩展列加密模式；</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6.支持</w:t>
            </w:r>
            <w:r>
              <w:rPr>
                <w:rFonts w:ascii="宋体" w:hAnsi="宋体" w:eastAsia="宋体" w:cs="宋体"/>
                <w:sz w:val="24"/>
                <w:highlight w:val="none"/>
              </w:rPr>
              <w:t xml:space="preserve">MySQL</w:t>
            </w:r>
            <w:r>
              <w:rPr>
                <w:rFonts w:hint="eastAsia" w:ascii="宋体" w:hAnsi="宋体" w:eastAsia="宋体" w:cs="宋体"/>
                <w:sz w:val="24"/>
                <w:highlight w:val="none"/>
              </w:rPr>
              <w:t xml:space="preserve">、</w:t>
            </w:r>
            <w:r>
              <w:rPr>
                <w:rFonts w:ascii="宋体" w:hAnsi="宋体" w:eastAsia="宋体" w:cs="宋体"/>
                <w:sz w:val="24"/>
                <w:highlight w:val="none"/>
              </w:rPr>
              <w:t xml:space="preserve">MariaDB</w:t>
            </w:r>
            <w:r>
              <w:rPr>
                <w:rFonts w:hint="eastAsia" w:ascii="宋体" w:hAnsi="宋体" w:eastAsia="宋体" w:cs="宋体"/>
                <w:sz w:val="24"/>
                <w:highlight w:val="none"/>
              </w:rPr>
              <w:t xml:space="preserve">、</w:t>
            </w:r>
            <w:r>
              <w:rPr>
                <w:rFonts w:ascii="宋体" w:hAnsi="宋体" w:eastAsia="宋体" w:cs="宋体"/>
                <w:sz w:val="24"/>
                <w:highlight w:val="none"/>
              </w:rPr>
              <w:t xml:space="preserve">PostgreSQL</w:t>
            </w:r>
            <w:r>
              <w:rPr>
                <w:rFonts w:hint="eastAsia" w:ascii="宋体" w:hAnsi="宋体" w:eastAsia="宋体" w:cs="宋体"/>
                <w:sz w:val="24"/>
                <w:highlight w:val="none"/>
              </w:rPr>
              <w:t xml:space="preserve">等数据库的网关透传加密模式；</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7.支持大数据透明加密，包括但不限于</w:t>
            </w:r>
            <w:r>
              <w:rPr>
                <w:rFonts w:ascii="宋体" w:hAnsi="宋体" w:eastAsia="宋体" w:cs="宋体"/>
                <w:sz w:val="24"/>
                <w:highlight w:val="none"/>
              </w:rPr>
              <w:t xml:space="preserve">HDFS</w:t>
            </w:r>
            <w:r>
              <w:rPr>
                <w:rFonts w:hint="eastAsia" w:ascii="宋体" w:hAnsi="宋体" w:eastAsia="宋体" w:cs="宋体"/>
                <w:sz w:val="24"/>
                <w:highlight w:val="none"/>
              </w:rPr>
              <w:t xml:space="preserve">、</w:t>
            </w:r>
            <w:r>
              <w:rPr>
                <w:rFonts w:ascii="宋体" w:hAnsi="宋体" w:eastAsia="宋体" w:cs="宋体"/>
                <w:sz w:val="24"/>
                <w:highlight w:val="none"/>
              </w:rPr>
              <w:t xml:space="preserve">Hive</w:t>
            </w:r>
            <w:r>
              <w:rPr>
                <w:rFonts w:hint="eastAsia" w:ascii="宋体" w:hAnsi="宋体" w:eastAsia="宋体" w:cs="宋体"/>
                <w:sz w:val="24"/>
                <w:highlight w:val="none"/>
              </w:rPr>
              <w:t xml:space="preserve">、</w:t>
            </w:r>
            <w:r>
              <w:rPr>
                <w:rFonts w:ascii="宋体" w:hAnsi="宋体" w:eastAsia="宋体" w:cs="宋体"/>
                <w:sz w:val="24"/>
                <w:highlight w:val="none"/>
              </w:rPr>
              <w:t xml:space="preserve">HBase</w:t>
            </w:r>
            <w:r>
              <w:rPr>
                <w:rFonts w:hint="eastAsia" w:ascii="宋体" w:hAnsi="宋体" w:eastAsia="宋体" w:cs="宋体"/>
                <w:sz w:val="24"/>
                <w:highlight w:val="none"/>
              </w:rPr>
              <w:t xml:space="preserve">等大数据组件的透明加密；</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8.支持数据库实例中多敏感列配置使用相同密钥或不同密钥；</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9.支持业务系统不停机实现敏感数据加密，不停机切换数据库加密状态，数据库加密状态为“原始明文数据”、“加密试运行中”、“加密已上线”三种状态；</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10.支持密文索引和密文的模糊查询，包括小于、小于等于、大于、大于等于、等于、</w:t>
            </w:r>
            <w:r>
              <w:rPr>
                <w:rFonts w:ascii="宋体" w:hAnsi="宋体" w:eastAsia="宋体" w:cs="宋体"/>
                <w:sz w:val="24"/>
                <w:highlight w:val="none"/>
              </w:rPr>
              <w:t xml:space="preserve">between...and</w:t>
            </w:r>
            <w:r>
              <w:rPr>
                <w:rFonts w:hint="eastAsia" w:ascii="宋体" w:hAnsi="宋体" w:eastAsia="宋体" w:cs="宋体"/>
                <w:sz w:val="24"/>
                <w:highlight w:val="none"/>
              </w:rPr>
              <w:t xml:space="preserve">比值查询和</w:t>
            </w:r>
            <w:r>
              <w:rPr>
                <w:rFonts w:ascii="宋体" w:hAnsi="宋体" w:eastAsia="宋体" w:cs="宋体"/>
                <w:sz w:val="24"/>
                <w:highlight w:val="none"/>
              </w:rPr>
              <w:t xml:space="preserve">Like</w:t>
            </w:r>
            <w:r>
              <w:rPr>
                <w:rFonts w:hint="eastAsia" w:ascii="宋体" w:hAnsi="宋体" w:eastAsia="宋体" w:cs="宋体"/>
                <w:sz w:val="24"/>
                <w:highlight w:val="none"/>
              </w:rPr>
              <w:t xml:space="preserve">模糊查询；</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11.提供与人大金仓、神舟通用、达梦、南大通用、优炫软件、海量数据、瀚高、爱可生、虚谷、万里等数据库的产品互认证书；</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12.采用国产密码算法</w:t>
            </w:r>
            <w:r>
              <w:rPr>
                <w:rFonts w:ascii="宋体" w:hAnsi="宋体" w:eastAsia="宋体" w:cs="宋体"/>
                <w:sz w:val="24"/>
                <w:highlight w:val="none"/>
              </w:rPr>
              <w:t xml:space="preserve">SM4</w:t>
            </w:r>
            <w:r>
              <w:rPr>
                <w:rFonts w:hint="eastAsia" w:ascii="宋体" w:hAnsi="宋体" w:eastAsia="宋体" w:cs="宋体"/>
                <w:sz w:val="24"/>
                <w:highlight w:val="none"/>
              </w:rPr>
              <w:t xml:space="preserve">加密；</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13.采用双层密钥机制，支持每个数据库或每个表采用不同的密钥；</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14.支持密钥备份与密钥恢复，支持极端情况下的数据库密文恢复；</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15.加密类型支持常用的数据类型：数字类型、字符串类型、日期类型；</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16.加解密性能：</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）查询</w:t>
            </w:r>
            <w:r>
              <w:rPr>
                <w:rFonts w:ascii="宋体" w:hAnsi="宋体" w:eastAsia="宋体" w:cs="宋体"/>
                <w:sz w:val="24"/>
                <w:highlight w:val="none"/>
              </w:rPr>
              <w:t xml:space="preserve">&gt;40000</w:t>
            </w:r>
            <w:r>
              <w:rPr>
                <w:rFonts w:hint="eastAsia" w:ascii="宋体" w:hAnsi="宋体" w:eastAsia="宋体" w:cs="宋体"/>
                <w:sz w:val="24"/>
                <w:highlight w:val="none"/>
              </w:rPr>
              <w:t xml:space="preserve">条</w:t>
            </w:r>
            <w:r>
              <w:rPr>
                <w:rFonts w:ascii="宋体" w:hAnsi="宋体" w:eastAsia="宋体" w:cs="宋体"/>
                <w:sz w:val="24"/>
                <w:highlight w:val="none"/>
              </w:rPr>
              <w:t xml:space="preserve">/</w:t>
            </w:r>
            <w:r>
              <w:rPr>
                <w:rFonts w:hint="eastAsia" w:ascii="宋体" w:hAnsi="宋体" w:eastAsia="宋体" w:cs="宋体"/>
                <w:sz w:val="24"/>
                <w:highlight w:val="none"/>
              </w:rPr>
              <w:t xml:space="preserve">秒；</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2</w:t>
            </w:r>
            <w:r>
              <w:rPr>
                <w:rFonts w:hint="eastAsia" w:ascii="宋体" w:hAnsi="宋体" w:eastAsia="宋体" w:cs="宋体"/>
                <w:sz w:val="24"/>
                <w:highlight w:val="none"/>
              </w:rPr>
              <w:t xml:space="preserve">）更新</w:t>
            </w:r>
            <w:r>
              <w:rPr>
                <w:rFonts w:ascii="宋体" w:hAnsi="宋体" w:eastAsia="宋体" w:cs="宋体"/>
                <w:sz w:val="24"/>
                <w:highlight w:val="none"/>
              </w:rPr>
              <w:t xml:space="preserve">&gt;28000</w:t>
            </w:r>
            <w:r>
              <w:rPr>
                <w:rFonts w:hint="eastAsia" w:ascii="宋体" w:hAnsi="宋体" w:eastAsia="宋体" w:cs="宋体"/>
                <w:sz w:val="24"/>
                <w:highlight w:val="none"/>
              </w:rPr>
              <w:t xml:space="preserve">条</w:t>
            </w:r>
            <w:r>
              <w:rPr>
                <w:rFonts w:ascii="宋体" w:hAnsi="宋体" w:eastAsia="宋体" w:cs="宋体"/>
                <w:sz w:val="24"/>
                <w:highlight w:val="none"/>
              </w:rPr>
              <w:t xml:space="preserve">/</w:t>
            </w:r>
            <w:r>
              <w:rPr>
                <w:rFonts w:hint="eastAsia" w:ascii="宋体" w:hAnsi="宋体" w:eastAsia="宋体" w:cs="宋体"/>
                <w:sz w:val="24"/>
                <w:highlight w:val="none"/>
              </w:rPr>
              <w:t xml:space="preserve">秒；</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3</w:t>
            </w:r>
            <w:r>
              <w:rPr>
                <w:rFonts w:hint="eastAsia" w:ascii="宋体" w:hAnsi="宋体" w:eastAsia="宋体" w:cs="宋体"/>
                <w:sz w:val="24"/>
                <w:highlight w:val="none"/>
              </w:rPr>
              <w:t xml:space="preserve">）插入</w:t>
            </w:r>
            <w:r>
              <w:rPr>
                <w:rFonts w:ascii="宋体" w:hAnsi="宋体" w:eastAsia="宋体" w:cs="宋体"/>
                <w:sz w:val="24"/>
                <w:highlight w:val="none"/>
              </w:rPr>
              <w:t xml:space="preserve">&gt;9000</w:t>
            </w:r>
            <w:r>
              <w:rPr>
                <w:rFonts w:hint="eastAsia" w:ascii="宋体" w:hAnsi="宋体" w:eastAsia="宋体" w:cs="宋体"/>
                <w:sz w:val="24"/>
                <w:highlight w:val="none"/>
              </w:rPr>
              <w:t xml:space="preserve">条</w:t>
            </w:r>
            <w:r>
              <w:rPr>
                <w:rFonts w:ascii="宋体" w:hAnsi="宋体" w:eastAsia="宋体" w:cs="宋体"/>
                <w:sz w:val="24"/>
                <w:highlight w:val="none"/>
              </w:rPr>
              <w:t xml:space="preserve">/</w:t>
            </w:r>
            <w:r>
              <w:rPr>
                <w:rFonts w:hint="eastAsia" w:ascii="宋体" w:hAnsi="宋体" w:eastAsia="宋体" w:cs="宋体"/>
                <w:sz w:val="24"/>
                <w:highlight w:val="none"/>
              </w:rPr>
              <w:t xml:space="preserve">秒；</w:t>
            </w:r>
            <w:r>
              <w:rPr>
                <w:rFonts w:ascii="宋体" w:hAnsi="宋体" w:eastAsia="宋体" w:cs="宋体"/>
                <w:sz w:val="24"/>
                <w:highlight w:val="none"/>
              </w:rPr>
            </w:r>
            <w:r/>
          </w:p>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4</w:t>
            </w:r>
            <w:r>
              <w:rPr>
                <w:rFonts w:hint="eastAsia" w:ascii="宋体" w:hAnsi="宋体" w:eastAsia="宋体" w:cs="宋体"/>
                <w:sz w:val="24"/>
                <w:highlight w:val="none"/>
              </w:rPr>
              <w:t xml:space="preserve">）删除</w:t>
            </w:r>
            <w:r>
              <w:rPr>
                <w:rFonts w:ascii="宋体" w:hAnsi="宋体" w:eastAsia="宋体" w:cs="宋体"/>
                <w:sz w:val="24"/>
                <w:highlight w:val="none"/>
              </w:rPr>
              <w:t xml:space="preserve">&gt;40000</w:t>
            </w:r>
            <w:r>
              <w:rPr>
                <w:rFonts w:hint="eastAsia" w:ascii="宋体" w:hAnsi="宋体" w:eastAsia="宋体" w:cs="宋体"/>
                <w:sz w:val="24"/>
                <w:highlight w:val="none"/>
              </w:rPr>
              <w:t xml:space="preserve">条</w:t>
            </w:r>
            <w:r>
              <w:rPr>
                <w:rFonts w:ascii="宋体" w:hAnsi="宋体" w:eastAsia="宋体" w:cs="宋体"/>
                <w:sz w:val="24"/>
                <w:highlight w:val="none"/>
              </w:rPr>
              <w:t xml:space="preserve">/</w:t>
            </w:r>
            <w:r>
              <w:rPr>
                <w:rFonts w:hint="eastAsia" w:ascii="宋体" w:hAnsi="宋体" w:eastAsia="宋体" w:cs="宋体"/>
                <w:sz w:val="24"/>
                <w:highlight w:val="none"/>
              </w:rPr>
              <w:t xml:space="preserve">秒；</w:t>
            </w:r>
            <w:r>
              <w:rPr>
                <w:rFonts w:hint="eastAsia" w:ascii="宋体" w:hAnsi="宋体" w:eastAsia="宋体" w:cs="宋体"/>
                <w:sz w:val="24"/>
                <w:highlight w:val="none"/>
              </w:rPr>
            </w:r>
            <w:r/>
          </w:p>
        </w:tc>
      </w:tr>
      <w:tr>
        <w:trPr>
          <w:trHeight w:val="438"/>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12</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站点证书</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国密局指定机构颁发的</w:t>
            </w:r>
            <w:r>
              <w:rPr>
                <w:rFonts w:ascii="宋体" w:hAnsi="宋体" w:eastAsia="宋体" w:cs="宋体"/>
                <w:sz w:val="24"/>
                <w:highlight w:val="none"/>
              </w:rPr>
              <w:t xml:space="preserve"> SM2 </w:t>
            </w:r>
            <w:r>
              <w:rPr>
                <w:rFonts w:hint="eastAsia" w:ascii="宋体" w:hAnsi="宋体" w:eastAsia="宋体" w:cs="宋体"/>
                <w:sz w:val="24"/>
                <w:highlight w:val="none"/>
              </w:rPr>
              <w:t xml:space="preserve">数字证书，用做标识应用系统身份</w:t>
            </w:r>
            <w:r>
              <w:rPr>
                <w:rFonts w:hint="eastAsia" w:ascii="宋体" w:hAnsi="宋体" w:eastAsia="宋体" w:cs="宋体"/>
                <w:sz w:val="24"/>
                <w:highlight w:val="none"/>
              </w:rPr>
            </w:r>
            <w:r/>
          </w:p>
        </w:tc>
      </w:tr>
      <w:tr>
        <w:trPr>
          <w:trHeight w:val="283"/>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13</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国密浏览器</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支持</w:t>
            </w:r>
            <w:r>
              <w:rPr>
                <w:rFonts w:ascii="宋体" w:hAnsi="宋体" w:eastAsia="宋体" w:cs="宋体"/>
                <w:sz w:val="24"/>
                <w:highlight w:val="none"/>
              </w:rPr>
              <w:t xml:space="preserve"> TLS/GM TLS </w:t>
            </w:r>
            <w:r>
              <w:rPr>
                <w:rFonts w:hint="eastAsia" w:ascii="宋体" w:hAnsi="宋体" w:eastAsia="宋体" w:cs="宋体"/>
                <w:sz w:val="24"/>
                <w:highlight w:val="none"/>
              </w:rPr>
              <w:t xml:space="preserve">协议的浏览器，支持国产化终端部署</w:t>
            </w:r>
            <w:r>
              <w:rPr>
                <w:rFonts w:hint="eastAsia" w:ascii="宋体" w:hAnsi="宋体" w:eastAsia="宋体" w:cs="宋体"/>
                <w:sz w:val="24"/>
                <w:highlight w:val="none"/>
              </w:rPr>
            </w:r>
            <w:r/>
          </w:p>
        </w:tc>
      </w:tr>
      <w:tr>
        <w:trPr>
          <w:trHeight w:val="386"/>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14</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用户证书</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国密局指定机构颁发的</w:t>
            </w:r>
            <w:r>
              <w:rPr>
                <w:rFonts w:ascii="宋体" w:hAnsi="宋体" w:eastAsia="宋体" w:cs="宋体"/>
                <w:sz w:val="24"/>
                <w:highlight w:val="none"/>
              </w:rPr>
              <w:t xml:space="preserve"> SM2 </w:t>
            </w:r>
            <w:r>
              <w:rPr>
                <w:rFonts w:hint="eastAsia" w:ascii="宋体" w:hAnsi="宋体" w:eastAsia="宋体" w:cs="宋体"/>
                <w:sz w:val="24"/>
                <w:highlight w:val="none"/>
              </w:rPr>
              <w:t xml:space="preserve">数字证书，用做标识用户身份</w:t>
            </w:r>
            <w:r>
              <w:rPr>
                <w:rFonts w:hint="eastAsia" w:ascii="宋体" w:hAnsi="宋体" w:eastAsia="宋体" w:cs="宋体"/>
                <w:sz w:val="24"/>
                <w:highlight w:val="none"/>
              </w:rPr>
            </w:r>
            <w:r/>
          </w:p>
        </w:tc>
      </w:tr>
      <w:tr>
        <w:trPr>
          <w:trHeight w:val="378"/>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15</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智能密码钥匙</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数</w:t>
            </w:r>
            <w:r>
              <w:rPr>
                <w:rFonts w:ascii="宋体" w:hAnsi="宋体" w:eastAsia="宋体" w:cs="宋体"/>
                <w:sz w:val="24"/>
                <w:highlight w:val="none"/>
              </w:rPr>
              <w:t xml:space="preserve"> </w:t>
            </w:r>
            <w:r>
              <w:rPr>
                <w:rFonts w:hint="eastAsia" w:ascii="宋体" w:hAnsi="宋体" w:eastAsia="宋体" w:cs="宋体"/>
                <w:sz w:val="24"/>
                <w:highlight w:val="none"/>
              </w:rPr>
              <w:t xml:space="preserve">字</w:t>
            </w:r>
            <w:r>
              <w:rPr>
                <w:rFonts w:ascii="宋体" w:hAnsi="宋体" w:eastAsia="宋体" w:cs="宋体"/>
                <w:sz w:val="24"/>
                <w:highlight w:val="none"/>
              </w:rPr>
              <w:t xml:space="preserve"> </w:t>
            </w:r>
            <w:r>
              <w:rPr>
                <w:rFonts w:hint="eastAsia" w:ascii="宋体" w:hAnsi="宋体" w:eastAsia="宋体" w:cs="宋体"/>
                <w:sz w:val="24"/>
                <w:highlight w:val="none"/>
              </w:rPr>
              <w:t xml:space="preserve">证</w:t>
            </w:r>
            <w:r>
              <w:rPr>
                <w:rFonts w:ascii="宋体" w:hAnsi="宋体" w:eastAsia="宋体" w:cs="宋体"/>
                <w:sz w:val="24"/>
                <w:highlight w:val="none"/>
              </w:rPr>
              <w:t xml:space="preserve"> </w:t>
            </w:r>
            <w:r>
              <w:rPr>
                <w:rFonts w:hint="eastAsia" w:ascii="宋体" w:hAnsi="宋体" w:eastAsia="宋体" w:cs="宋体"/>
                <w:sz w:val="24"/>
                <w:highlight w:val="none"/>
              </w:rPr>
              <w:t xml:space="preserve">书</w:t>
            </w:r>
            <w:r>
              <w:rPr>
                <w:rFonts w:ascii="宋体" w:hAnsi="宋体" w:eastAsia="宋体" w:cs="宋体"/>
                <w:sz w:val="24"/>
                <w:highlight w:val="none"/>
              </w:rPr>
              <w:t xml:space="preserve"> </w:t>
            </w:r>
            <w:r>
              <w:rPr>
                <w:rFonts w:hint="eastAsia" w:ascii="宋体" w:hAnsi="宋体" w:eastAsia="宋体" w:cs="宋体"/>
                <w:sz w:val="24"/>
                <w:highlight w:val="none"/>
              </w:rPr>
              <w:t xml:space="preserve">安</w:t>
            </w:r>
            <w:r>
              <w:rPr>
                <w:rFonts w:ascii="宋体" w:hAnsi="宋体" w:eastAsia="宋体" w:cs="宋体"/>
                <w:sz w:val="24"/>
                <w:highlight w:val="none"/>
              </w:rPr>
              <w:t xml:space="preserve"> </w:t>
            </w:r>
            <w:r>
              <w:rPr>
                <w:rFonts w:hint="eastAsia" w:ascii="宋体" w:hAnsi="宋体" w:eastAsia="宋体" w:cs="宋体"/>
                <w:sz w:val="24"/>
                <w:highlight w:val="none"/>
              </w:rPr>
              <w:t xml:space="preserve">全</w:t>
            </w:r>
            <w:r>
              <w:rPr>
                <w:rFonts w:ascii="宋体" w:hAnsi="宋体" w:eastAsia="宋体" w:cs="宋体"/>
                <w:sz w:val="24"/>
                <w:highlight w:val="none"/>
              </w:rPr>
              <w:t xml:space="preserve"> </w:t>
            </w:r>
            <w:r>
              <w:rPr>
                <w:rFonts w:hint="eastAsia" w:ascii="宋体" w:hAnsi="宋体" w:eastAsia="宋体" w:cs="宋体"/>
                <w:sz w:val="24"/>
                <w:highlight w:val="none"/>
              </w:rPr>
              <w:t xml:space="preserve">载</w:t>
            </w:r>
            <w:r>
              <w:rPr>
                <w:rFonts w:ascii="宋体" w:hAnsi="宋体" w:eastAsia="宋体" w:cs="宋体"/>
                <w:sz w:val="24"/>
                <w:highlight w:val="none"/>
              </w:rPr>
              <w:t xml:space="preserve"> </w:t>
            </w:r>
            <w:r>
              <w:rPr>
                <w:rFonts w:hint="eastAsia" w:ascii="宋体" w:hAnsi="宋体" w:eastAsia="宋体" w:cs="宋体"/>
                <w:sz w:val="24"/>
                <w:highlight w:val="none"/>
              </w:rPr>
              <w:t xml:space="preserve">体</w:t>
            </w:r>
            <w:r>
              <w:rPr>
                <w:rFonts w:ascii="宋体" w:hAnsi="宋体" w:eastAsia="宋体" w:cs="宋体"/>
                <w:sz w:val="24"/>
                <w:highlight w:val="none"/>
              </w:rPr>
              <w:t xml:space="preserve"> </w:t>
            </w:r>
            <w:r>
              <w:rPr>
                <w:rFonts w:hint="eastAsia" w:ascii="宋体" w:hAnsi="宋体" w:eastAsia="宋体" w:cs="宋体"/>
                <w:sz w:val="24"/>
                <w:highlight w:val="none"/>
              </w:rPr>
              <w:t xml:space="preserve">，</w:t>
            </w:r>
            <w:r>
              <w:rPr>
                <w:rFonts w:ascii="宋体" w:hAnsi="宋体" w:eastAsia="宋体" w:cs="宋体"/>
                <w:sz w:val="24"/>
                <w:highlight w:val="none"/>
              </w:rPr>
              <w:t xml:space="preserve"> </w:t>
            </w:r>
            <w:r>
              <w:rPr>
                <w:rFonts w:hint="eastAsia" w:ascii="宋体" w:hAnsi="宋体" w:eastAsia="宋体" w:cs="宋体"/>
                <w:sz w:val="24"/>
                <w:highlight w:val="none"/>
              </w:rPr>
              <w:t xml:space="preserve">支</w:t>
            </w:r>
            <w:r>
              <w:rPr>
                <w:rFonts w:ascii="宋体" w:hAnsi="宋体" w:eastAsia="宋体" w:cs="宋体"/>
                <w:sz w:val="24"/>
                <w:highlight w:val="none"/>
              </w:rPr>
              <w:t xml:space="preserve"> </w:t>
            </w:r>
            <w:r>
              <w:rPr>
                <w:rFonts w:hint="eastAsia" w:ascii="宋体" w:hAnsi="宋体" w:eastAsia="宋体" w:cs="宋体"/>
                <w:sz w:val="24"/>
                <w:highlight w:val="none"/>
              </w:rPr>
              <w:t xml:space="preserve">持</w:t>
            </w:r>
            <w:r>
              <w:rPr>
                <w:rFonts w:ascii="宋体" w:hAnsi="宋体" w:eastAsia="宋体" w:cs="宋体"/>
                <w:sz w:val="24"/>
                <w:highlight w:val="none"/>
              </w:rPr>
              <w:t xml:space="preserve">SM2</w:t>
            </w:r>
            <w:r>
              <w:rPr>
                <w:rFonts w:hint="eastAsia" w:ascii="宋体" w:hAnsi="宋体" w:eastAsia="宋体" w:cs="宋体"/>
                <w:sz w:val="24"/>
                <w:highlight w:val="none"/>
              </w:rPr>
              <w:t xml:space="preserve">、</w:t>
            </w:r>
            <w:r>
              <w:rPr>
                <w:rFonts w:ascii="宋体" w:hAnsi="宋体" w:eastAsia="宋体" w:cs="宋体"/>
                <w:sz w:val="24"/>
                <w:highlight w:val="none"/>
              </w:rPr>
              <w:t xml:space="preserve">SM3</w:t>
            </w:r>
            <w:r>
              <w:rPr>
                <w:rFonts w:hint="eastAsia" w:ascii="宋体" w:hAnsi="宋体" w:eastAsia="宋体" w:cs="宋体"/>
                <w:sz w:val="24"/>
                <w:highlight w:val="none"/>
              </w:rPr>
              <w:t xml:space="preserve">、</w:t>
            </w:r>
            <w:r>
              <w:rPr>
                <w:rFonts w:ascii="宋体" w:hAnsi="宋体" w:eastAsia="宋体" w:cs="宋体"/>
                <w:sz w:val="24"/>
                <w:highlight w:val="none"/>
              </w:rPr>
              <w:t xml:space="preserve">SM4 </w:t>
            </w:r>
            <w:r>
              <w:rPr>
                <w:rFonts w:hint="eastAsia" w:ascii="宋体" w:hAnsi="宋体" w:eastAsia="宋体" w:cs="宋体"/>
                <w:sz w:val="24"/>
                <w:highlight w:val="none"/>
              </w:rPr>
              <w:t xml:space="preserve">算法</w:t>
            </w:r>
            <w:r>
              <w:rPr>
                <w:rFonts w:hint="eastAsia" w:ascii="宋体" w:hAnsi="宋体" w:eastAsia="宋体" w:cs="宋体"/>
                <w:sz w:val="24"/>
                <w:highlight w:val="none"/>
              </w:rPr>
            </w:r>
            <w:r/>
          </w:p>
        </w:tc>
      </w:tr>
      <w:tr>
        <w:trPr>
          <w:trHeight w:val="749"/>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国密门禁系统</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包含国密门禁管理系统、</w:t>
            </w:r>
            <w:r>
              <w:rPr>
                <w:rFonts w:ascii="宋体" w:hAnsi="宋体" w:eastAsia="宋体" w:cs="宋体"/>
                <w:sz w:val="24"/>
                <w:highlight w:val="none"/>
              </w:rPr>
              <w:t xml:space="preserve">PCI-E </w:t>
            </w:r>
            <w:r>
              <w:rPr>
                <w:rFonts w:hint="eastAsia" w:ascii="宋体" w:hAnsi="宋体" w:eastAsia="宋体" w:cs="宋体"/>
                <w:sz w:val="24"/>
                <w:highlight w:val="none"/>
              </w:rPr>
              <w:t xml:space="preserve">密码卡、门禁控制器</w:t>
            </w:r>
            <w:r>
              <w:rPr>
                <w:rFonts w:ascii="宋体" w:hAnsi="宋体" w:eastAsia="宋体" w:cs="宋体"/>
                <w:sz w:val="24"/>
                <w:highlight w:val="none"/>
              </w:rPr>
              <w:t xml:space="preserve">(</w:t>
            </w:r>
            <w:r>
              <w:rPr>
                <w:rFonts w:hint="eastAsia" w:ascii="宋体" w:hAnsi="宋体" w:eastAsia="宋体" w:cs="宋体"/>
                <w:sz w:val="24"/>
                <w:highlight w:val="none"/>
              </w:rPr>
              <w:t xml:space="preserve">双门</w:t>
            </w:r>
            <w:r>
              <w:rPr>
                <w:rFonts w:ascii="宋体" w:hAnsi="宋体" w:eastAsia="宋体" w:cs="宋体"/>
                <w:sz w:val="24"/>
                <w:highlight w:val="none"/>
              </w:rPr>
              <w:t xml:space="preserve">)</w:t>
            </w:r>
            <w:r>
              <w:rPr>
                <w:rFonts w:hint="eastAsia" w:ascii="宋体" w:hAnsi="宋体" w:eastAsia="宋体" w:cs="宋体"/>
                <w:sz w:val="24"/>
                <w:highlight w:val="none"/>
              </w:rPr>
              <w:t xml:space="preserve">、读卡器按键型、门禁发卡器、门禁密钥注入器、</w:t>
            </w:r>
            <w:r>
              <w:rPr>
                <w:rFonts w:ascii="宋体" w:hAnsi="宋体" w:eastAsia="宋体" w:cs="宋体"/>
                <w:sz w:val="24"/>
                <w:highlight w:val="none"/>
              </w:rPr>
              <w:t xml:space="preserve">CPU </w:t>
            </w:r>
            <w:r>
              <w:rPr>
                <w:rFonts w:hint="eastAsia" w:ascii="宋体" w:hAnsi="宋体" w:eastAsia="宋体" w:cs="宋体"/>
                <w:sz w:val="24"/>
                <w:highlight w:val="none"/>
              </w:rPr>
              <w:t xml:space="preserve">卡</w:t>
            </w:r>
            <w:r>
              <w:rPr>
                <w:rFonts w:hint="eastAsia" w:ascii="宋体" w:hAnsi="宋体" w:eastAsia="宋体" w:cs="宋体"/>
                <w:sz w:val="24"/>
                <w:highlight w:val="none"/>
              </w:rPr>
            </w:r>
            <w:r/>
          </w:p>
        </w:tc>
      </w:tr>
      <w:tr>
        <w:trPr>
          <w:trHeight w:val="1009"/>
        </w:trPr>
        <w:tc>
          <w:tcPr>
            <w:tcW w:w="96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17</w:t>
            </w:r>
            <w:r>
              <w:rPr>
                <w:rFonts w:hint="eastAsia" w:ascii="宋体" w:hAnsi="宋体" w:eastAsia="宋体" w:cs="宋体"/>
                <w:sz w:val="24"/>
                <w:highlight w:val="none"/>
              </w:rPr>
            </w:r>
            <w:r/>
          </w:p>
        </w:tc>
        <w:tc>
          <w:tcPr>
            <w:shd w:val="clear" w:color="000000" w:fill="ffffff"/>
            <w:tcW w:w="168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国密视频监控系统</w:t>
            </w:r>
            <w:r>
              <w:rPr>
                <w:rFonts w:hint="eastAsia" w:ascii="宋体" w:hAnsi="宋体" w:eastAsia="宋体" w:cs="宋体"/>
                <w:sz w:val="24"/>
                <w:highlight w:val="none"/>
              </w:rPr>
            </w:r>
            <w:r/>
          </w:p>
        </w:tc>
        <w:tc>
          <w:tcPr>
            <w:shd w:val="clear" w:color="000000" w:fill="ffffff"/>
            <w:tcW w:w="1083"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5022" w:type="dxa"/>
            <w:vAlign w:val="center"/>
            <w:textDirection w:val="lrTb"/>
            <w:noWrap w:val="false"/>
          </w:tcPr>
          <w:p>
            <w:pPr>
              <w:pStyle w:val="737"/>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包含基于国密算法的安全视频加密系统软件、</w:t>
            </w:r>
            <w:r>
              <w:rPr>
                <w:rFonts w:ascii="宋体" w:hAnsi="宋体" w:eastAsia="宋体" w:cs="宋体"/>
                <w:sz w:val="24"/>
                <w:highlight w:val="none"/>
              </w:rPr>
              <w:t xml:space="preserve">40 </w:t>
            </w:r>
            <w:r>
              <w:rPr>
                <w:rFonts w:hint="eastAsia" w:ascii="宋体" w:hAnsi="宋体" w:eastAsia="宋体" w:cs="宋体"/>
                <w:sz w:val="24"/>
                <w:highlight w:val="none"/>
              </w:rPr>
              <w:t xml:space="preserve">路</w:t>
            </w:r>
            <w:r>
              <w:rPr>
                <w:rFonts w:ascii="宋体" w:hAnsi="宋体" w:eastAsia="宋体" w:cs="宋体"/>
                <w:sz w:val="24"/>
                <w:highlight w:val="none"/>
              </w:rPr>
              <w:t xml:space="preserve"> 8 </w:t>
            </w:r>
            <w:r>
              <w:rPr>
                <w:rFonts w:hint="eastAsia" w:ascii="宋体" w:hAnsi="宋体" w:eastAsia="宋体" w:cs="宋体"/>
                <w:sz w:val="24"/>
                <w:highlight w:val="none"/>
              </w:rPr>
              <w:t xml:space="preserve">盘位国密硬盘录像机、监控硬盘、</w:t>
            </w:r>
            <w:r>
              <w:rPr>
                <w:rFonts w:ascii="宋体" w:hAnsi="宋体" w:eastAsia="宋体" w:cs="宋体"/>
                <w:sz w:val="24"/>
                <w:highlight w:val="none"/>
              </w:rPr>
              <w:t xml:space="preserve">200</w:t>
            </w:r>
            <w:r>
              <w:rPr>
                <w:rFonts w:hint="eastAsia" w:ascii="宋体" w:hAnsi="宋体" w:eastAsia="宋体" w:cs="宋体"/>
                <w:sz w:val="24"/>
                <w:highlight w:val="none"/>
              </w:rPr>
              <w:t xml:space="preserve">万半球国密网络摄像机</w:t>
            </w:r>
            <w:r>
              <w:rPr>
                <w:rFonts w:hint="eastAsia" w:ascii="宋体" w:hAnsi="宋体" w:eastAsia="宋体" w:cs="宋体"/>
                <w:sz w:val="24"/>
                <w:highlight w:val="none"/>
              </w:rPr>
            </w:r>
            <w:r/>
          </w:p>
        </w:tc>
      </w:tr>
    </w:tbl>
    <w:p>
      <w:pPr>
        <w:pStyle w:val="737"/>
        <w:ind w:firstLine="480"/>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t xml:space="preserve">2、基础支撑软件采购</w:t>
      </w:r>
      <w:r>
        <w:rPr>
          <w:rFonts w:hint="eastAsia" w:ascii="宋体" w:hAnsi="宋体" w:eastAsia="宋体" w:cs="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752"/>
        <w:gridCol w:w="966"/>
        <w:gridCol w:w="4631"/>
      </w:tblGrid>
      <w:tr>
        <w:trPr>
          <w:trHeight w:val="625"/>
          <w:tblHeader/>
        </w:trPr>
        <w:tc>
          <w:tcPr>
            <w:shd w:val="clear" w:color="000000" w:fill="ffffff"/>
            <w:tcW w:w="947" w:type="dxa"/>
            <w:vAlign w:val="center"/>
            <w:textDirection w:val="lrTb"/>
            <w:noWrap w:val="false"/>
          </w:tcPr>
          <w:p>
            <w:pPr>
              <w:pStyle w:val="737"/>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shd w:val="clear" w:color="000000" w:fill="ffffff"/>
            <w:tcW w:w="1752" w:type="dxa"/>
            <w:vAlign w:val="center"/>
            <w:textDirection w:val="lrTb"/>
            <w:noWrap w:val="false"/>
          </w:tcPr>
          <w:p>
            <w:pPr>
              <w:pStyle w:val="737"/>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建设内容</w:t>
            </w:r>
            <w:r>
              <w:rPr>
                <w:rFonts w:hint="eastAsia" w:ascii="宋体" w:hAnsi="宋体" w:eastAsia="宋体" w:cs="宋体"/>
                <w:b/>
                <w:bCs/>
                <w:sz w:val="24"/>
                <w:highlight w:val="none"/>
              </w:rPr>
            </w:r>
            <w:r/>
          </w:p>
        </w:tc>
        <w:tc>
          <w:tcPr>
            <w:shd w:val="clear" w:color="000000" w:fill="ffffff"/>
            <w:tcW w:w="966" w:type="dxa"/>
            <w:vAlign w:val="center"/>
            <w:textDirection w:val="lrTb"/>
            <w:noWrap w:val="false"/>
          </w:tcPr>
          <w:p>
            <w:pPr>
              <w:pStyle w:val="737"/>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数量</w:t>
            </w:r>
            <w:r>
              <w:rPr>
                <w:rFonts w:hint="eastAsia" w:ascii="宋体" w:hAnsi="宋体" w:eastAsia="宋体" w:cs="宋体"/>
                <w:b/>
                <w:bCs/>
                <w:sz w:val="24"/>
                <w:highlight w:val="none"/>
              </w:rPr>
            </w:r>
            <w:r/>
          </w:p>
        </w:tc>
        <w:tc>
          <w:tcPr>
            <w:shd w:val="clear" w:color="000000" w:fill="ffffff"/>
            <w:tcW w:w="4631" w:type="dxa"/>
            <w:vAlign w:val="center"/>
            <w:textDirection w:val="lrTb"/>
            <w:noWrap w:val="false"/>
          </w:tcPr>
          <w:p>
            <w:pPr>
              <w:pStyle w:val="737"/>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配置</w:t>
            </w:r>
            <w:r>
              <w:rPr>
                <w:rFonts w:hint="eastAsia" w:ascii="宋体" w:hAnsi="宋体" w:eastAsia="宋体" w:cs="宋体"/>
                <w:b/>
                <w:bCs/>
                <w:sz w:val="24"/>
                <w:highlight w:val="none"/>
              </w:rPr>
            </w:r>
            <w:r/>
          </w:p>
        </w:tc>
      </w:tr>
      <w:tr>
        <w:trPr>
          <w:trHeight w:val="1391"/>
        </w:trPr>
        <w:tc>
          <w:tcPr>
            <w:shd w:val="clear" w:color="000000" w:fill="ffffff"/>
            <w:tcW w:w="94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1752"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国产操作系统</w:t>
            </w:r>
            <w:r>
              <w:rPr>
                <w:rFonts w:hint="eastAsia" w:ascii="宋体" w:hAnsi="宋体" w:eastAsia="宋体" w:cs="宋体"/>
                <w:sz w:val="24"/>
                <w:highlight w:val="none"/>
              </w:rPr>
            </w:r>
            <w:r/>
          </w:p>
        </w:tc>
        <w:tc>
          <w:tcPr>
            <w:shd w:val="clear" w:color="000000" w:fill="ffffff"/>
            <w:tcW w:w="966"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shd w:val="clear" w:color="000000" w:fill="ffffff"/>
            <w:tcW w:w="4631" w:type="dxa"/>
            <w:vAlign w:val="center"/>
            <w:textDirection w:val="lrTb"/>
            <w:noWrap w:val="false"/>
          </w:tcPr>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支持自主CPU平台，提供图形化管理工具和统一的管理平台，构建数据中心、高可用集群和负载均衡集群、虚拟化应用服务、分布式文件系统等</w:t>
            </w:r>
            <w:r>
              <w:rPr>
                <w:rFonts w:hint="eastAsia" w:ascii="宋体" w:hAnsi="宋体" w:eastAsia="宋体" w:cs="宋体"/>
                <w:sz w:val="24"/>
                <w:highlight w:val="none"/>
              </w:rPr>
            </w:r>
            <w:r/>
          </w:p>
        </w:tc>
      </w:tr>
      <w:tr>
        <w:trPr>
          <w:trHeight w:val="1108"/>
        </w:trPr>
        <w:tc>
          <w:tcPr>
            <w:shd w:val="clear" w:color="000000" w:fill="ffffff"/>
            <w:tcW w:w="94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shd w:val="clear" w:color="000000" w:fill="ffffff"/>
            <w:tcW w:w="1752"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国产数据库</w:t>
            </w:r>
            <w:r>
              <w:rPr>
                <w:rFonts w:hint="eastAsia" w:ascii="宋体" w:hAnsi="宋体" w:eastAsia="宋体" w:cs="宋体"/>
                <w:sz w:val="24"/>
                <w:highlight w:val="none"/>
              </w:rPr>
            </w:r>
            <w:r/>
          </w:p>
        </w:tc>
        <w:tc>
          <w:tcPr>
            <w:shd w:val="clear" w:color="000000" w:fill="ffffff"/>
            <w:tcW w:w="966"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4631" w:type="dxa"/>
            <w:vAlign w:val="center"/>
            <w:textDirection w:val="lrTb"/>
            <w:noWrap w:val="false"/>
          </w:tcPr>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支持空间数据功能，支持丰富的原生几何数据类型，包括点、线、面、多点、多线、多面、几何集合等，永久授权，3年服务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符合</w:t>
            </w:r>
            <w:r>
              <w:rPr>
                <w:rFonts w:hint="eastAsia" w:ascii="宋体" w:hAnsi="宋体" w:eastAsia="宋体" w:cs="宋体"/>
                <w:sz w:val="24"/>
                <w:highlight w:val="none"/>
                <w:lang w:val="en-US" w:eastAsia="zh-CN"/>
              </w:rPr>
              <w:t xml:space="preserve">国产化</w:t>
            </w:r>
            <w:r>
              <w:rPr>
                <w:rFonts w:hint="eastAsia" w:ascii="宋体" w:hAnsi="宋体" w:eastAsia="宋体" w:cs="宋体"/>
                <w:sz w:val="24"/>
                <w:highlight w:val="none"/>
              </w:rPr>
              <w:t xml:space="preserve">要求</w:t>
            </w:r>
            <w:r>
              <w:rPr>
                <w:rFonts w:hint="eastAsia" w:ascii="宋体" w:hAnsi="宋体" w:eastAsia="宋体" w:cs="宋体"/>
                <w:sz w:val="24"/>
                <w:highlight w:val="none"/>
              </w:rPr>
            </w:r>
            <w:r/>
          </w:p>
        </w:tc>
      </w:tr>
      <w:tr>
        <w:trPr>
          <w:trHeight w:val="1154"/>
        </w:trPr>
        <w:tc>
          <w:tcPr>
            <w:shd w:val="clear" w:color="000000" w:fill="ffffff"/>
            <w:tcW w:w="94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shd w:val="clear" w:color="000000" w:fill="ffffff"/>
            <w:tcW w:w="1752"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国产中间件</w:t>
            </w:r>
            <w:r>
              <w:rPr>
                <w:rFonts w:hint="eastAsia" w:ascii="宋体" w:hAnsi="宋体" w:eastAsia="宋体" w:cs="宋体"/>
                <w:sz w:val="24"/>
                <w:highlight w:val="none"/>
              </w:rPr>
            </w:r>
            <w:r/>
          </w:p>
        </w:tc>
        <w:tc>
          <w:tcPr>
            <w:shd w:val="clear" w:color="000000" w:fill="ffffff"/>
            <w:tcW w:w="966"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shd w:val="clear" w:color="000000" w:fill="ffffff"/>
            <w:tcW w:w="4631" w:type="dxa"/>
            <w:vAlign w:val="center"/>
            <w:textDirection w:val="lrTb"/>
            <w:noWrap w:val="false"/>
          </w:tcPr>
          <w:p>
            <w:pPr>
              <w:pStyle w:val="737"/>
              <w:widowControl/>
              <w:rPr>
                <w:rFonts w:hint="eastAsia" w:ascii="宋体" w:hAnsi="宋体" w:eastAsia="宋体" w:cs="宋体"/>
                <w:sz w:val="24"/>
                <w:highlight w:val="none"/>
              </w:rPr>
            </w:pPr>
            <w:r>
              <w:rPr>
                <w:rFonts w:hint="eastAsia" w:ascii="宋体" w:hAnsi="宋体" w:eastAsia="宋体" w:cs="宋体"/>
                <w:sz w:val="24"/>
                <w:highlight w:val="none"/>
              </w:rPr>
              <w:t xml:space="preserve">为Java EE &amp; Jakarta EE应用提供运行支撑环境，提供应用提供部署、动态管理等功能；支持web容器，ejb容器、数据源服务、集群服务等功能；永久授权，3年服务</w:t>
            </w:r>
            <w:r>
              <w:rPr>
                <w:rFonts w:hint="eastAsia" w:ascii="宋体" w:hAnsi="宋体" w:eastAsia="宋体" w:cs="宋体"/>
                <w:sz w:val="24"/>
                <w:highlight w:val="none"/>
              </w:rPr>
            </w:r>
            <w:r/>
          </w:p>
        </w:tc>
      </w:tr>
      <w:tr>
        <w:trPr>
          <w:trHeight w:val="1603"/>
        </w:trPr>
        <w:tc>
          <w:tcPr>
            <w:shd w:val="clear" w:color="000000" w:fill="ffffff"/>
            <w:tcW w:w="94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1752"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二三维GIS引擎</w:t>
            </w:r>
            <w:r>
              <w:rPr>
                <w:rFonts w:hint="eastAsia" w:ascii="宋体" w:hAnsi="宋体" w:eastAsia="宋体" w:cs="宋体"/>
                <w:sz w:val="24"/>
                <w:highlight w:val="none"/>
              </w:rPr>
            </w:r>
            <w:r/>
          </w:p>
        </w:tc>
        <w:tc>
          <w:tcPr>
            <w:tcW w:w="966"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4631" w:type="dxa"/>
            <w:vAlign w:val="center"/>
            <w:textDirection w:val="lrTb"/>
            <w:noWrap w:val="false"/>
          </w:tcPr>
          <w:p>
            <w:pPr>
              <w:pStyle w:val="737"/>
              <w:widowControl/>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 支持跨硬件平台、跨操作系统平台的异构集群，包括：（</w:t>
            </w:r>
            <w:r>
              <w:rPr>
                <w:rFonts w:ascii="宋体" w:hAnsi="宋体" w:eastAsia="宋体" w:cs="宋体"/>
                <w:sz w:val="24"/>
                <w:highlight w:val="none"/>
              </w:rPr>
              <w:t xml:space="preserve">1</w:t>
            </w:r>
            <w:r>
              <w:rPr>
                <w:rFonts w:hint="eastAsia" w:ascii="宋体" w:hAnsi="宋体" w:eastAsia="宋体" w:cs="宋体"/>
                <w:sz w:val="24"/>
                <w:highlight w:val="none"/>
              </w:rPr>
              <w:t xml:space="preserve">）不同性能的服务器、</w:t>
            </w:r>
            <w:r>
              <w:rPr>
                <w:rFonts w:ascii="宋体" w:hAnsi="宋体" w:eastAsia="宋体" w:cs="宋体"/>
                <w:sz w:val="24"/>
                <w:highlight w:val="none"/>
              </w:rPr>
              <w:t xml:space="preserve">PC</w:t>
            </w:r>
            <w:r>
              <w:rPr>
                <w:rFonts w:hint="eastAsia" w:ascii="宋体" w:hAnsi="宋体" w:eastAsia="宋体" w:cs="宋体"/>
                <w:sz w:val="24"/>
                <w:highlight w:val="none"/>
              </w:rPr>
              <w:t xml:space="preserve">机甚至笔记本都可以加入集群；（</w:t>
            </w:r>
            <w:r>
              <w:rPr>
                <w:rFonts w:ascii="宋体" w:hAnsi="宋体" w:eastAsia="宋体" w:cs="宋体"/>
                <w:sz w:val="24"/>
                <w:highlight w:val="none"/>
              </w:rPr>
              <w:t xml:space="preserve">2</w:t>
            </w:r>
            <w:r>
              <w:rPr>
                <w:rFonts w:hint="eastAsia" w:ascii="宋体" w:hAnsi="宋体" w:eastAsia="宋体" w:cs="宋体"/>
                <w:sz w:val="24"/>
                <w:highlight w:val="none"/>
              </w:rPr>
              <w:t xml:space="preserve">）不同操作系统的机器，如</w:t>
            </w:r>
            <w:r>
              <w:rPr>
                <w:rFonts w:ascii="宋体" w:hAnsi="宋体" w:eastAsia="宋体" w:cs="宋体"/>
                <w:sz w:val="24"/>
                <w:highlight w:val="none"/>
              </w:rPr>
              <w:t xml:space="preserve">Windows</w:t>
            </w:r>
            <w:r>
              <w:rPr>
                <w:rFonts w:hint="eastAsia" w:ascii="宋体" w:hAnsi="宋体" w:eastAsia="宋体" w:cs="宋体"/>
                <w:sz w:val="24"/>
                <w:highlight w:val="none"/>
              </w:rPr>
              <w:t xml:space="preserve">、</w:t>
            </w:r>
            <w:r>
              <w:rPr>
                <w:rFonts w:ascii="宋体" w:hAnsi="宋体" w:eastAsia="宋体" w:cs="宋体"/>
                <w:sz w:val="24"/>
                <w:highlight w:val="none"/>
              </w:rPr>
              <w:t xml:space="preserve">CentOS</w:t>
            </w:r>
            <w:r>
              <w:rPr>
                <w:rFonts w:hint="eastAsia" w:ascii="宋体" w:hAnsi="宋体" w:eastAsia="宋体" w:cs="宋体"/>
                <w:sz w:val="24"/>
                <w:highlight w:val="none"/>
              </w:rPr>
              <w:t xml:space="preserve">、</w:t>
            </w:r>
            <w:r>
              <w:rPr>
                <w:rFonts w:ascii="宋体" w:hAnsi="宋体" w:eastAsia="宋体" w:cs="宋体"/>
                <w:sz w:val="24"/>
                <w:highlight w:val="none"/>
              </w:rPr>
              <w:t xml:space="preserve">Red Hat</w:t>
            </w:r>
            <w:r>
              <w:rPr>
                <w:rFonts w:hint="eastAsia" w:ascii="宋体" w:hAnsi="宋体" w:eastAsia="宋体" w:cs="宋体"/>
                <w:sz w:val="24"/>
                <w:highlight w:val="none"/>
              </w:rPr>
              <w:t xml:space="preserve">、</w:t>
            </w:r>
            <w:r>
              <w:rPr>
                <w:rFonts w:ascii="宋体" w:hAnsi="宋体" w:eastAsia="宋体" w:cs="宋体"/>
                <w:sz w:val="24"/>
                <w:highlight w:val="none"/>
              </w:rPr>
              <w:t xml:space="preserve">SUSE</w:t>
            </w:r>
            <w:r>
              <w:rPr>
                <w:rFonts w:hint="eastAsia" w:ascii="宋体" w:hAnsi="宋体" w:eastAsia="宋体" w:cs="宋体"/>
                <w:sz w:val="24"/>
                <w:highlight w:val="none"/>
              </w:rPr>
              <w:t xml:space="preserve">、</w:t>
            </w:r>
            <w:r>
              <w:rPr>
                <w:rFonts w:ascii="宋体" w:hAnsi="宋体" w:eastAsia="宋体" w:cs="宋体"/>
                <w:sz w:val="24"/>
                <w:highlight w:val="none"/>
              </w:rPr>
              <w:t xml:space="preserve">Ubuntu</w:t>
            </w:r>
            <w:r>
              <w:rPr>
                <w:rFonts w:hint="eastAsia" w:ascii="宋体" w:hAnsi="宋体" w:eastAsia="宋体" w:cs="宋体"/>
                <w:sz w:val="24"/>
                <w:highlight w:val="none"/>
              </w:rPr>
              <w:t xml:space="preserve">、麒麟等，都可以加入同一个集群系统。</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提供在线数据编辑功能以及在线统计分析功能（最大值、最小值、平均值、方差、标准差、求和）。</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支持动态发布功能，支持将影像、地形、地图、</w:t>
            </w:r>
            <w:r>
              <w:rPr>
                <w:rFonts w:ascii="宋体" w:hAnsi="宋体" w:eastAsia="宋体" w:cs="宋体"/>
                <w:sz w:val="24"/>
                <w:highlight w:val="none"/>
              </w:rPr>
              <w:t xml:space="preserve">KML</w:t>
            </w:r>
            <w:r>
              <w:rPr>
                <w:rFonts w:hint="eastAsia" w:ascii="宋体" w:hAnsi="宋体" w:eastAsia="宋体" w:cs="宋体"/>
                <w:sz w:val="24"/>
                <w:highlight w:val="none"/>
              </w:rPr>
              <w:t xml:space="preserve">、模型、矢量数据等快速发布为三维服务。</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 支持发布</w:t>
            </w:r>
            <w:r>
              <w:rPr>
                <w:rFonts w:ascii="宋体" w:hAnsi="宋体" w:eastAsia="宋体" w:cs="宋体"/>
                <w:sz w:val="24"/>
                <w:highlight w:val="none"/>
              </w:rPr>
              <w:t xml:space="preserve">MongoDB</w:t>
            </w:r>
            <w:r>
              <w:rPr>
                <w:rFonts w:hint="eastAsia" w:ascii="宋体" w:hAnsi="宋体" w:eastAsia="宋体" w:cs="宋体"/>
                <w:sz w:val="24"/>
                <w:highlight w:val="none"/>
              </w:rPr>
              <w:t xml:space="preserve">瓦片服务功能，支持将存储在</w:t>
            </w:r>
            <w:r>
              <w:rPr>
                <w:rFonts w:ascii="宋体" w:hAnsi="宋体" w:eastAsia="宋体" w:cs="宋体"/>
                <w:sz w:val="24"/>
                <w:highlight w:val="none"/>
              </w:rPr>
              <w:t xml:space="preserve">MongoDB</w:t>
            </w:r>
            <w:r>
              <w:rPr>
                <w:rFonts w:hint="eastAsia" w:ascii="宋体" w:hAnsi="宋体" w:eastAsia="宋体" w:cs="宋体"/>
                <w:sz w:val="24"/>
                <w:highlight w:val="none"/>
              </w:rPr>
              <w:t xml:space="preserve">中的</w:t>
            </w:r>
            <w:r>
              <w:rPr>
                <w:rFonts w:ascii="宋体" w:hAnsi="宋体" w:eastAsia="宋体" w:cs="宋体"/>
                <w:sz w:val="24"/>
                <w:highlight w:val="none"/>
              </w:rPr>
              <w:t xml:space="preserve">S3M</w:t>
            </w:r>
            <w:r>
              <w:rPr>
                <w:rFonts w:hint="eastAsia" w:ascii="宋体" w:hAnsi="宋体" w:eastAsia="宋体" w:cs="宋体"/>
                <w:sz w:val="24"/>
                <w:highlight w:val="none"/>
              </w:rPr>
              <w:t xml:space="preserve">瓦片、</w:t>
            </w:r>
            <w:r>
              <w:rPr>
                <w:rFonts w:ascii="宋体" w:hAnsi="宋体" w:eastAsia="宋体" w:cs="宋体"/>
                <w:sz w:val="24"/>
                <w:highlight w:val="none"/>
              </w:rPr>
              <w:t xml:space="preserve">Block</w:t>
            </w:r>
            <w:r>
              <w:rPr>
                <w:rFonts w:hint="eastAsia" w:ascii="宋体" w:hAnsi="宋体" w:eastAsia="宋体" w:cs="宋体"/>
                <w:sz w:val="24"/>
                <w:highlight w:val="none"/>
              </w:rPr>
              <w:t xml:space="preserve">地形影像、</w:t>
            </w:r>
            <w:r>
              <w:rPr>
                <w:rFonts w:ascii="宋体" w:hAnsi="宋体" w:eastAsia="宋体" w:cs="宋体"/>
                <w:sz w:val="24"/>
                <w:highlight w:val="none"/>
              </w:rPr>
              <w:t xml:space="preserve">3D Tiles</w:t>
            </w:r>
            <w:r>
              <w:rPr>
                <w:rFonts w:hint="eastAsia" w:ascii="宋体" w:hAnsi="宋体" w:eastAsia="宋体" w:cs="宋体"/>
                <w:sz w:val="24"/>
                <w:highlight w:val="none"/>
              </w:rPr>
              <w:t xml:space="preserve">数据、带有历史版本的</w:t>
            </w:r>
            <w:r>
              <w:rPr>
                <w:rFonts w:ascii="宋体" w:hAnsi="宋体" w:eastAsia="宋体" w:cs="宋体"/>
                <w:sz w:val="24"/>
                <w:highlight w:val="none"/>
              </w:rPr>
              <w:t xml:space="preserve">TIN</w:t>
            </w:r>
            <w:r>
              <w:rPr>
                <w:rFonts w:hint="eastAsia" w:ascii="宋体" w:hAnsi="宋体" w:eastAsia="宋体" w:cs="宋体"/>
                <w:sz w:val="24"/>
                <w:highlight w:val="none"/>
              </w:rPr>
              <w:t xml:space="preserve">地形发布为服务。</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支持分布式生产</w:t>
            </w:r>
            <w:r>
              <w:rPr>
                <w:rFonts w:ascii="宋体" w:hAnsi="宋体" w:eastAsia="宋体" w:cs="宋体"/>
                <w:sz w:val="24"/>
                <w:highlight w:val="none"/>
              </w:rPr>
              <w:t xml:space="preserve">MongoDB</w:t>
            </w:r>
            <w:r>
              <w:rPr>
                <w:rFonts w:hint="eastAsia" w:ascii="宋体" w:hAnsi="宋体" w:eastAsia="宋体" w:cs="宋体"/>
                <w:sz w:val="24"/>
                <w:highlight w:val="none"/>
              </w:rPr>
              <w:t xml:space="preserve">等分布式存储的多版本地图瓦片，支持分布式生产矢量瓦片，支持生成栅格类型的地图瓦片，支持生成存储于</w:t>
            </w:r>
            <w:r>
              <w:rPr>
                <w:rFonts w:ascii="宋体" w:hAnsi="宋体" w:eastAsia="宋体" w:cs="宋体"/>
                <w:sz w:val="24"/>
                <w:highlight w:val="none"/>
              </w:rPr>
              <w:t xml:space="preserve">SQLite</w:t>
            </w:r>
            <w:r>
              <w:rPr>
                <w:rFonts w:hint="eastAsia" w:ascii="宋体" w:hAnsi="宋体" w:eastAsia="宋体" w:cs="宋体"/>
                <w:sz w:val="24"/>
                <w:highlight w:val="none"/>
              </w:rPr>
              <w:t xml:space="preserve">数据库的标准</w:t>
            </w:r>
            <w:r>
              <w:rPr>
                <w:rFonts w:ascii="宋体" w:hAnsi="宋体" w:eastAsia="宋体" w:cs="宋体"/>
                <w:sz w:val="24"/>
                <w:highlight w:val="none"/>
              </w:rPr>
              <w:t xml:space="preserve">MBTiles</w:t>
            </w:r>
            <w:r>
              <w:rPr>
                <w:rFonts w:hint="eastAsia" w:ascii="宋体" w:hAnsi="宋体" w:eastAsia="宋体" w:cs="宋体"/>
                <w:sz w:val="24"/>
                <w:highlight w:val="none"/>
              </w:rPr>
              <w:t xml:space="preserve">格式瓦片，支持生成本地磁盘存储的地图瓦片。</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支持分布式生产</w:t>
            </w:r>
            <w:r>
              <w:rPr>
                <w:rFonts w:ascii="宋体" w:hAnsi="宋体" w:eastAsia="宋体" w:cs="宋体"/>
                <w:sz w:val="24"/>
                <w:highlight w:val="none"/>
              </w:rPr>
              <w:t xml:space="preserve">WebP</w:t>
            </w:r>
            <w:r>
              <w:rPr>
                <w:rFonts w:hint="eastAsia" w:ascii="宋体" w:hAnsi="宋体" w:eastAsia="宋体" w:cs="宋体"/>
                <w:sz w:val="24"/>
                <w:highlight w:val="none"/>
              </w:rPr>
              <w:t xml:space="preserve">格式的地图瓦片。</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7.</w:t>
            </w:r>
            <w:r>
              <w:rPr>
                <w:rFonts w:hint="eastAsia" w:ascii="宋体" w:hAnsi="宋体" w:eastAsia="宋体" w:cs="宋体"/>
                <w:sz w:val="24"/>
                <w:highlight w:val="none"/>
              </w:rPr>
              <w:t xml:space="preserve">模型数据集动态生成</w:t>
            </w:r>
            <w:r>
              <w:rPr>
                <w:rFonts w:ascii="宋体" w:hAnsi="宋体" w:eastAsia="宋体" w:cs="宋体"/>
                <w:sz w:val="24"/>
                <w:highlight w:val="none"/>
              </w:rPr>
              <w:t xml:space="preserve">S3M</w:t>
            </w:r>
            <w:r>
              <w:rPr>
                <w:rFonts w:hint="eastAsia" w:ascii="宋体" w:hAnsi="宋体" w:eastAsia="宋体" w:cs="宋体"/>
                <w:sz w:val="24"/>
                <w:highlight w:val="none"/>
              </w:rPr>
              <w:t xml:space="preserve">切片时，支持数据局部动态更新。</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8.</w:t>
            </w:r>
            <w:r>
              <w:rPr>
                <w:rFonts w:hint="eastAsia" w:ascii="宋体" w:hAnsi="宋体" w:eastAsia="宋体" w:cs="宋体"/>
                <w:sz w:val="24"/>
                <w:highlight w:val="none"/>
              </w:rPr>
              <w:t xml:space="preserve"> 支持将本地的</w:t>
            </w:r>
            <w:r>
              <w:rPr>
                <w:rFonts w:ascii="宋体" w:hAnsi="宋体" w:eastAsia="宋体" w:cs="宋体"/>
                <w:sz w:val="24"/>
                <w:highlight w:val="none"/>
              </w:rPr>
              <w:t xml:space="preserve">S3M </w:t>
            </w:r>
            <w:r>
              <w:rPr>
                <w:rFonts w:hint="eastAsia" w:ascii="宋体" w:hAnsi="宋体" w:eastAsia="宋体" w:cs="宋体"/>
                <w:sz w:val="24"/>
                <w:highlight w:val="none"/>
              </w:rPr>
              <w:t xml:space="preserve">瓦片、</w:t>
            </w:r>
            <w:r>
              <w:rPr>
                <w:rFonts w:ascii="宋体" w:hAnsi="宋体" w:eastAsia="宋体" w:cs="宋体"/>
                <w:sz w:val="24"/>
                <w:highlight w:val="none"/>
              </w:rPr>
              <w:t xml:space="preserve">3D Tiles</w:t>
            </w:r>
            <w:r>
              <w:rPr>
                <w:rFonts w:hint="eastAsia" w:ascii="宋体" w:hAnsi="宋体" w:eastAsia="宋体" w:cs="宋体"/>
                <w:sz w:val="24"/>
                <w:highlight w:val="none"/>
              </w:rPr>
              <w:t xml:space="preserve">瓦片、</w:t>
            </w:r>
            <w:r>
              <w:rPr>
                <w:rFonts w:ascii="宋体" w:hAnsi="宋体" w:eastAsia="宋体" w:cs="宋体"/>
                <w:sz w:val="24"/>
                <w:highlight w:val="none"/>
              </w:rPr>
              <w:t xml:space="preserve">OSGB </w:t>
            </w:r>
            <w:r>
              <w:rPr>
                <w:rFonts w:hint="eastAsia" w:ascii="宋体" w:hAnsi="宋体" w:eastAsia="宋体" w:cs="宋体"/>
                <w:sz w:val="24"/>
                <w:highlight w:val="none"/>
              </w:rPr>
              <w:t xml:space="preserve">模型瓦片、地形瓦片</w:t>
            </w:r>
            <w:r>
              <w:rPr>
                <w:rFonts w:ascii="宋体" w:hAnsi="宋体" w:eastAsia="宋体" w:cs="宋体"/>
                <w:sz w:val="24"/>
                <w:highlight w:val="none"/>
              </w:rPr>
              <w:t xml:space="preserve">(CF</w:t>
            </w:r>
            <w:r>
              <w:rPr>
                <w:rFonts w:hint="eastAsia" w:ascii="宋体" w:hAnsi="宋体" w:eastAsia="宋体" w:cs="宋体"/>
                <w:sz w:val="24"/>
                <w:highlight w:val="none"/>
              </w:rPr>
              <w:t xml:space="preserve">、</w:t>
            </w:r>
            <w:r>
              <w:rPr>
                <w:rFonts w:ascii="宋体" w:hAnsi="宋体" w:eastAsia="宋体" w:cs="宋体"/>
                <w:sz w:val="24"/>
                <w:highlight w:val="none"/>
              </w:rPr>
              <w:t xml:space="preserve">Terrainz)</w:t>
            </w:r>
            <w:r>
              <w:rPr>
                <w:rFonts w:hint="eastAsia" w:ascii="宋体" w:hAnsi="宋体" w:eastAsia="宋体" w:cs="宋体"/>
                <w:sz w:val="24"/>
                <w:highlight w:val="none"/>
              </w:rPr>
              <w:t xml:space="preserve">、影像瓦片</w:t>
            </w:r>
            <w:r>
              <w:rPr>
                <w:rFonts w:ascii="宋体" w:hAnsi="宋体" w:eastAsia="宋体" w:cs="宋体"/>
                <w:sz w:val="24"/>
                <w:highlight w:val="none"/>
              </w:rPr>
              <w:t xml:space="preserve">(WebP</w:t>
            </w:r>
            <w:r>
              <w:rPr>
                <w:rFonts w:hint="eastAsia" w:ascii="宋体" w:hAnsi="宋体" w:eastAsia="宋体" w:cs="宋体"/>
                <w:sz w:val="24"/>
                <w:highlight w:val="none"/>
              </w:rPr>
              <w:t xml:space="preserve">、</w:t>
            </w:r>
            <w:r>
              <w:rPr>
                <w:rFonts w:ascii="宋体" w:hAnsi="宋体" w:eastAsia="宋体" w:cs="宋体"/>
                <w:sz w:val="24"/>
                <w:highlight w:val="none"/>
              </w:rPr>
              <w:t xml:space="preserve">JPG</w:t>
            </w:r>
            <w:r>
              <w:rPr>
                <w:rFonts w:hint="eastAsia" w:ascii="宋体" w:hAnsi="宋体" w:eastAsia="宋体" w:cs="宋体"/>
                <w:sz w:val="24"/>
                <w:highlight w:val="none"/>
              </w:rPr>
              <w:t xml:space="preserve">、</w:t>
            </w:r>
            <w:r>
              <w:rPr>
                <w:rFonts w:ascii="宋体" w:hAnsi="宋体" w:eastAsia="宋体" w:cs="宋体"/>
                <w:sz w:val="24"/>
                <w:highlight w:val="none"/>
              </w:rPr>
              <w:t xml:space="preserve">PNG)</w:t>
            </w:r>
            <w:r>
              <w:rPr>
                <w:rFonts w:hint="eastAsia" w:ascii="宋体" w:hAnsi="宋体" w:eastAsia="宋体" w:cs="宋体"/>
                <w:sz w:val="24"/>
                <w:highlight w:val="none"/>
              </w:rPr>
              <w:t xml:space="preserve">直接发布为三维服务。</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9.</w:t>
            </w:r>
            <w:r>
              <w:rPr>
                <w:rFonts w:hint="eastAsia" w:ascii="宋体" w:hAnsi="宋体" w:eastAsia="宋体" w:cs="宋体"/>
                <w:sz w:val="24"/>
                <w:highlight w:val="none"/>
              </w:rPr>
              <w:t xml:space="preserve"> 支持将</w:t>
            </w:r>
            <w:r>
              <w:rPr>
                <w:rFonts w:ascii="宋体" w:hAnsi="宋体" w:eastAsia="宋体" w:cs="宋体"/>
                <w:sz w:val="24"/>
                <w:highlight w:val="none"/>
              </w:rPr>
              <w:t xml:space="preserve">MVT</w:t>
            </w:r>
            <w:r>
              <w:rPr>
                <w:rFonts w:hint="eastAsia" w:ascii="宋体" w:hAnsi="宋体" w:eastAsia="宋体" w:cs="宋体"/>
                <w:sz w:val="24"/>
                <w:highlight w:val="none"/>
              </w:rPr>
              <w:t xml:space="preserve">瓦片作为数据来源直接发布为三维服务。</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10.</w:t>
            </w:r>
            <w:r>
              <w:rPr>
                <w:rFonts w:hint="eastAsia" w:ascii="宋体" w:hAnsi="宋体" w:eastAsia="宋体" w:cs="宋体"/>
                <w:sz w:val="24"/>
                <w:highlight w:val="none"/>
              </w:rPr>
              <w:t xml:space="preserve">提供三维服务的缓存机制，包括</w:t>
            </w:r>
            <w:r>
              <w:rPr>
                <w:rFonts w:ascii="宋体" w:hAnsi="宋体" w:eastAsia="宋体" w:cs="宋体"/>
                <w:sz w:val="24"/>
                <w:highlight w:val="none"/>
              </w:rPr>
              <w:t xml:space="preserve">HTTP</w:t>
            </w:r>
            <w:r>
              <w:rPr>
                <w:rFonts w:hint="eastAsia" w:ascii="宋体" w:hAnsi="宋体" w:eastAsia="宋体" w:cs="宋体"/>
                <w:sz w:val="24"/>
                <w:highlight w:val="none"/>
              </w:rPr>
              <w:t xml:space="preserve">缓存、请求缓存、动态缓存、预缓存等，提高用户访问三维场景的速度。</w:t>
            </w:r>
            <w:r>
              <w:rPr>
                <w:rFonts w:ascii="宋体" w:hAnsi="宋体" w:eastAsia="宋体" w:cs="宋体"/>
                <w:sz w:val="24"/>
                <w:highlight w:val="none"/>
              </w:rPr>
            </w:r>
            <w:r/>
          </w:p>
          <w:p>
            <w:pPr>
              <w:pStyle w:val="737"/>
              <w:widowControl/>
              <w:rPr>
                <w:rFonts w:hint="eastAsia" w:ascii="宋体" w:hAnsi="宋体" w:eastAsia="宋体" w:cs="宋体"/>
                <w:sz w:val="24"/>
                <w:highlight w:val="none"/>
              </w:rPr>
            </w:pPr>
            <w:r>
              <w:rPr>
                <w:rFonts w:ascii="宋体" w:hAnsi="宋体" w:eastAsia="宋体" w:cs="宋体"/>
                <w:sz w:val="24"/>
                <w:highlight w:val="none"/>
              </w:rPr>
              <w:t xml:space="preserve">11.</w:t>
            </w:r>
            <w:r>
              <w:rPr>
                <w:rFonts w:hint="eastAsia" w:ascii="宋体" w:hAnsi="宋体" w:eastAsia="宋体" w:cs="宋体"/>
                <w:sz w:val="24"/>
                <w:highlight w:val="none"/>
              </w:rPr>
              <w:t xml:space="preserve"> 支持服务器端的地图服务和数据服务的聚合，聚合后的服务可作为一个服务对外提供访问。支持聚合的地图服务来源有：（</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）地图瓦片包，包括</w:t>
            </w:r>
            <w:r>
              <w:rPr>
                <w:rFonts w:ascii="宋体" w:hAnsi="宋体" w:eastAsia="宋体" w:cs="宋体"/>
                <w:sz w:val="24"/>
                <w:highlight w:val="none"/>
              </w:rPr>
              <w:t xml:space="preserve">MongoDB</w:t>
            </w:r>
            <w:r>
              <w:rPr>
                <w:rFonts w:hint="eastAsia" w:ascii="宋体" w:hAnsi="宋体" w:eastAsia="宋体" w:cs="宋体"/>
                <w:sz w:val="24"/>
                <w:highlight w:val="none"/>
              </w:rPr>
              <w:t xml:space="preserve">、</w:t>
            </w:r>
            <w:r>
              <w:rPr>
                <w:rFonts w:ascii="宋体" w:hAnsi="宋体" w:eastAsia="宋体" w:cs="宋体"/>
                <w:sz w:val="24"/>
                <w:highlight w:val="none"/>
              </w:rPr>
              <w:t xml:space="preserve">MBTiles</w:t>
            </w:r>
            <w:r>
              <w:rPr>
                <w:rFonts w:hint="eastAsia" w:ascii="宋体" w:hAnsi="宋体" w:eastAsia="宋体" w:cs="宋体"/>
                <w:sz w:val="24"/>
                <w:highlight w:val="none"/>
              </w:rPr>
              <w:t xml:space="preserve">、</w:t>
            </w:r>
            <w:r>
              <w:rPr>
                <w:rFonts w:ascii="宋体" w:hAnsi="宋体" w:eastAsia="宋体" w:cs="宋体"/>
                <w:sz w:val="24"/>
                <w:highlight w:val="none"/>
              </w:rPr>
              <w:t xml:space="preserve">GeoPackage</w:t>
            </w:r>
            <w:r>
              <w:rPr>
                <w:rFonts w:hint="eastAsia" w:ascii="宋体" w:hAnsi="宋体" w:eastAsia="宋体" w:cs="宋体"/>
                <w:sz w:val="24"/>
                <w:highlight w:val="none"/>
              </w:rPr>
              <w:t xml:space="preserve">、</w:t>
            </w:r>
            <w:r>
              <w:rPr>
                <w:rFonts w:ascii="宋体" w:hAnsi="宋体" w:eastAsia="宋体" w:cs="宋体"/>
                <w:sz w:val="24"/>
                <w:highlight w:val="none"/>
              </w:rPr>
              <w:t xml:space="preserve">SMTiles</w:t>
            </w:r>
            <w:r>
              <w:rPr>
                <w:rFonts w:hint="eastAsia" w:ascii="宋体" w:hAnsi="宋体" w:eastAsia="宋体" w:cs="宋体"/>
                <w:sz w:val="24"/>
                <w:highlight w:val="none"/>
              </w:rPr>
              <w:t xml:space="preserve">、</w:t>
            </w:r>
            <w:r>
              <w:rPr>
                <w:rFonts w:ascii="宋体" w:hAnsi="宋体" w:eastAsia="宋体" w:cs="宋体"/>
                <w:sz w:val="24"/>
                <w:highlight w:val="none"/>
              </w:rPr>
              <w:t xml:space="preserve">UGCV5</w:t>
            </w:r>
            <w:r>
              <w:rPr>
                <w:rFonts w:hint="eastAsia" w:ascii="宋体" w:hAnsi="宋体" w:eastAsia="宋体" w:cs="宋体"/>
                <w:sz w:val="24"/>
                <w:highlight w:val="none"/>
              </w:rPr>
              <w:t xml:space="preserve">、</w:t>
            </w:r>
            <w:r>
              <w:rPr>
                <w:rFonts w:ascii="宋体" w:hAnsi="宋体" w:eastAsia="宋体" w:cs="宋体"/>
                <w:sz w:val="24"/>
                <w:highlight w:val="none"/>
              </w:rPr>
              <w:t xml:space="preserve">ArcGIS</w:t>
            </w:r>
            <w:r>
              <w:rPr>
                <w:rFonts w:hint="eastAsia" w:ascii="宋体" w:hAnsi="宋体" w:eastAsia="宋体" w:cs="宋体"/>
                <w:sz w:val="24"/>
                <w:highlight w:val="none"/>
              </w:rPr>
              <w:t xml:space="preserve">缓存、</w:t>
            </w:r>
            <w:r>
              <w:rPr>
                <w:rFonts w:ascii="宋体" w:hAnsi="宋体" w:eastAsia="宋体" w:cs="宋体"/>
                <w:sz w:val="24"/>
                <w:highlight w:val="none"/>
              </w:rPr>
              <w:t xml:space="preserve">ZXY</w:t>
            </w:r>
            <w:r>
              <w:rPr>
                <w:rFonts w:hint="eastAsia" w:ascii="宋体" w:hAnsi="宋体" w:eastAsia="宋体" w:cs="宋体"/>
                <w:sz w:val="24"/>
                <w:highlight w:val="none"/>
              </w:rPr>
              <w:t xml:space="preserve">瓦片、</w:t>
            </w:r>
            <w:r>
              <w:rPr>
                <w:rFonts w:ascii="宋体" w:hAnsi="宋体" w:eastAsia="宋体" w:cs="宋体"/>
                <w:sz w:val="24"/>
                <w:highlight w:val="none"/>
              </w:rPr>
              <w:t xml:space="preserve">TPK</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OGC</w:t>
            </w:r>
            <w:r>
              <w:rPr>
                <w:rFonts w:hint="eastAsia" w:ascii="宋体" w:hAnsi="宋体" w:eastAsia="宋体" w:cs="宋体"/>
                <w:sz w:val="24"/>
                <w:highlight w:val="none"/>
              </w:rPr>
              <w:t xml:space="preserve">标准服务，包括</w:t>
            </w:r>
            <w:r>
              <w:rPr>
                <w:rFonts w:ascii="宋体" w:hAnsi="宋体" w:eastAsia="宋体" w:cs="宋体"/>
                <w:sz w:val="24"/>
                <w:highlight w:val="none"/>
              </w:rPr>
              <w:t xml:space="preserve">WMS</w:t>
            </w:r>
            <w:r>
              <w:rPr>
                <w:rFonts w:hint="eastAsia" w:ascii="宋体" w:hAnsi="宋体" w:eastAsia="宋体" w:cs="宋体"/>
                <w:sz w:val="24"/>
                <w:highlight w:val="none"/>
              </w:rPr>
              <w:t xml:space="preserve">、</w:t>
            </w:r>
            <w:r>
              <w:rPr>
                <w:rFonts w:ascii="宋体" w:hAnsi="宋体" w:eastAsia="宋体" w:cs="宋体"/>
                <w:sz w:val="24"/>
                <w:highlight w:val="none"/>
              </w:rPr>
              <w:t xml:space="preserve">WMTS</w:t>
            </w:r>
            <w:r>
              <w:rPr>
                <w:rFonts w:hint="eastAsia" w:ascii="宋体" w:hAnsi="宋体" w:eastAsia="宋体" w:cs="宋体"/>
                <w:sz w:val="24"/>
                <w:highlight w:val="none"/>
              </w:rPr>
              <w:t xml:space="preserve">服务；（</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）在线地图服务，包括超图云的服务、天地图、</w:t>
            </w:r>
            <w:r>
              <w:rPr>
                <w:rFonts w:ascii="宋体" w:hAnsi="宋体" w:eastAsia="宋体" w:cs="宋体"/>
                <w:sz w:val="24"/>
                <w:highlight w:val="none"/>
              </w:rPr>
              <w:t xml:space="preserve">Bing Maps</w:t>
            </w:r>
            <w:r>
              <w:rPr>
                <w:rFonts w:hint="eastAsia" w:ascii="宋体" w:hAnsi="宋体" w:eastAsia="宋体" w:cs="宋体"/>
                <w:sz w:val="24"/>
                <w:highlight w:val="none"/>
              </w:rPr>
              <w:t xml:space="preserve">、</w:t>
            </w:r>
            <w:r>
              <w:rPr>
                <w:rFonts w:ascii="宋体" w:hAnsi="宋体" w:eastAsia="宋体" w:cs="宋体"/>
                <w:sz w:val="24"/>
                <w:highlight w:val="none"/>
              </w:rPr>
              <w:t xml:space="preserve">Google Maps</w:t>
            </w:r>
            <w:r>
              <w:rPr>
                <w:rFonts w:hint="eastAsia" w:ascii="宋体" w:hAnsi="宋体" w:eastAsia="宋体" w:cs="宋体"/>
                <w:sz w:val="24"/>
                <w:highlight w:val="none"/>
              </w:rPr>
              <w:t xml:space="preserve">、百度地图、</w:t>
            </w:r>
            <w:r>
              <w:rPr>
                <w:rFonts w:ascii="宋体" w:hAnsi="宋体" w:eastAsia="宋体" w:cs="宋体"/>
                <w:sz w:val="24"/>
                <w:highlight w:val="none"/>
              </w:rPr>
              <w:t xml:space="preserve">OpenStreetMap</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ArcGIS REST</w:t>
            </w:r>
            <w:r>
              <w:rPr>
                <w:rFonts w:hint="eastAsia" w:ascii="宋体" w:hAnsi="宋体" w:eastAsia="宋体" w:cs="宋体"/>
                <w:sz w:val="24"/>
                <w:highlight w:val="none"/>
              </w:rPr>
              <w:t xml:space="preserve">地图服务。地图服务聚合后，支持发布为地图</w:t>
            </w:r>
            <w:r>
              <w:rPr>
                <w:rFonts w:ascii="宋体" w:hAnsi="宋体" w:eastAsia="宋体" w:cs="宋体"/>
                <w:sz w:val="24"/>
                <w:highlight w:val="none"/>
              </w:rPr>
              <w:t xml:space="preserve">REST</w:t>
            </w:r>
            <w:r>
              <w:rPr>
                <w:rFonts w:hint="eastAsia" w:ascii="宋体" w:hAnsi="宋体" w:eastAsia="宋体" w:cs="宋体"/>
                <w:sz w:val="24"/>
                <w:highlight w:val="none"/>
              </w:rPr>
              <w:t xml:space="preserve">服务、</w:t>
            </w:r>
            <w:r>
              <w:rPr>
                <w:rFonts w:ascii="宋体" w:hAnsi="宋体" w:eastAsia="宋体" w:cs="宋体"/>
                <w:sz w:val="24"/>
                <w:highlight w:val="none"/>
              </w:rPr>
              <w:t xml:space="preserve">WMS</w:t>
            </w:r>
            <w:r>
              <w:rPr>
                <w:rFonts w:hint="eastAsia" w:ascii="宋体" w:hAnsi="宋体" w:eastAsia="宋体" w:cs="宋体"/>
                <w:sz w:val="24"/>
                <w:highlight w:val="none"/>
              </w:rPr>
              <w:t xml:space="preserve">服务、</w:t>
            </w:r>
            <w:r>
              <w:rPr>
                <w:rFonts w:ascii="宋体" w:hAnsi="宋体" w:eastAsia="宋体" w:cs="宋体"/>
                <w:sz w:val="24"/>
                <w:highlight w:val="none"/>
              </w:rPr>
              <w:t xml:space="preserve">WMTS</w:t>
            </w:r>
            <w:r>
              <w:rPr>
                <w:rFonts w:hint="eastAsia" w:ascii="宋体" w:hAnsi="宋体" w:eastAsia="宋体" w:cs="宋体"/>
                <w:sz w:val="24"/>
                <w:highlight w:val="none"/>
              </w:rPr>
              <w:t xml:space="preserve">服务等。支持聚合的数据服务来源有：远程</w:t>
            </w:r>
            <w:r>
              <w:rPr>
                <w:rFonts w:ascii="宋体" w:hAnsi="宋体" w:eastAsia="宋体" w:cs="宋体"/>
                <w:sz w:val="24"/>
                <w:highlight w:val="none"/>
              </w:rPr>
              <w:t xml:space="preserve">REST</w:t>
            </w:r>
            <w:r>
              <w:rPr>
                <w:rFonts w:hint="eastAsia" w:ascii="宋体" w:hAnsi="宋体" w:eastAsia="宋体" w:cs="宋体"/>
                <w:sz w:val="24"/>
                <w:highlight w:val="none"/>
              </w:rPr>
              <w:t xml:space="preserve">数据服务、</w:t>
            </w:r>
            <w:r>
              <w:rPr>
                <w:rFonts w:ascii="宋体" w:hAnsi="宋体" w:eastAsia="宋体" w:cs="宋体"/>
                <w:sz w:val="24"/>
                <w:highlight w:val="none"/>
              </w:rPr>
              <w:t xml:space="preserve">OGC</w:t>
            </w:r>
            <w:r>
              <w:rPr>
                <w:rFonts w:hint="eastAsia" w:ascii="宋体" w:hAnsi="宋体" w:eastAsia="宋体" w:cs="宋体"/>
                <w:sz w:val="24"/>
                <w:highlight w:val="none"/>
              </w:rPr>
              <w:t xml:space="preserve">标准的</w:t>
            </w:r>
            <w:r>
              <w:rPr>
                <w:rFonts w:ascii="宋体" w:hAnsi="宋体" w:eastAsia="宋体" w:cs="宋体"/>
                <w:sz w:val="24"/>
                <w:highlight w:val="none"/>
              </w:rPr>
              <w:t xml:space="preserve">WFS</w:t>
            </w:r>
            <w:r>
              <w:rPr>
                <w:rFonts w:hint="eastAsia" w:ascii="宋体" w:hAnsi="宋体" w:eastAsia="宋体" w:cs="宋体"/>
                <w:sz w:val="24"/>
                <w:highlight w:val="none"/>
              </w:rPr>
              <w:t xml:space="preserve">服务。数据服务聚合后，支持发布为数据</w:t>
            </w:r>
            <w:r>
              <w:rPr>
                <w:rFonts w:ascii="宋体" w:hAnsi="宋体" w:eastAsia="宋体" w:cs="宋体"/>
                <w:sz w:val="24"/>
                <w:highlight w:val="none"/>
              </w:rPr>
              <w:t xml:space="preserve">REST</w:t>
            </w:r>
            <w:r>
              <w:rPr>
                <w:rFonts w:hint="eastAsia" w:ascii="宋体" w:hAnsi="宋体" w:eastAsia="宋体" w:cs="宋体"/>
                <w:sz w:val="24"/>
                <w:highlight w:val="none"/>
              </w:rPr>
              <w:t xml:space="preserve">服务、</w:t>
            </w:r>
            <w:r>
              <w:rPr>
                <w:rFonts w:ascii="宋体" w:hAnsi="宋体" w:eastAsia="宋体" w:cs="宋体"/>
                <w:sz w:val="24"/>
                <w:highlight w:val="none"/>
              </w:rPr>
              <w:t xml:space="preserve">WFS</w:t>
            </w:r>
            <w:r>
              <w:rPr>
                <w:rFonts w:hint="eastAsia" w:ascii="宋体" w:hAnsi="宋体" w:eastAsia="宋体" w:cs="宋体"/>
                <w:sz w:val="24"/>
                <w:highlight w:val="none"/>
              </w:rPr>
              <w:t xml:space="preserve">服务等。</w:t>
            </w:r>
            <w:r>
              <w:rPr>
                <w:rFonts w:hint="eastAsia"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12.</w:t>
            </w:r>
            <w:r>
              <w:rPr>
                <w:rFonts w:hint="eastAsia" w:ascii="宋体" w:hAnsi="宋体" w:eastAsia="宋体" w:cs="宋体"/>
                <w:sz w:val="24"/>
                <w:highlight w:val="none"/>
              </w:rPr>
              <w:t xml:space="preserve">支持“免切片”可视化技术，可实现矢量</w:t>
            </w:r>
            <w:r>
              <w:rPr>
                <w:rFonts w:ascii="宋体" w:hAnsi="宋体" w:eastAsia="宋体" w:cs="宋体"/>
                <w:sz w:val="24"/>
                <w:highlight w:val="none"/>
              </w:rPr>
              <w:t xml:space="preserve">/</w:t>
            </w:r>
            <w:r>
              <w:rPr>
                <w:rFonts w:hint="eastAsia" w:ascii="宋体" w:hAnsi="宋体" w:eastAsia="宋体" w:cs="宋体"/>
                <w:sz w:val="24"/>
                <w:highlight w:val="none"/>
              </w:rPr>
              <w:t xml:space="preserve">栅格数据分布式存储、免切片发布、动态生成矢量</w:t>
            </w:r>
            <w:r>
              <w:rPr>
                <w:rFonts w:ascii="宋体" w:hAnsi="宋体" w:eastAsia="宋体" w:cs="宋体"/>
                <w:sz w:val="24"/>
                <w:highlight w:val="none"/>
              </w:rPr>
              <w:t xml:space="preserve">/</w:t>
            </w:r>
            <w:r>
              <w:rPr>
                <w:rFonts w:hint="eastAsia" w:ascii="宋体" w:hAnsi="宋体" w:eastAsia="宋体" w:cs="宋体"/>
                <w:sz w:val="24"/>
                <w:highlight w:val="none"/>
              </w:rPr>
              <w:t xml:space="preserve">栅格瓦片、实时渲染、高效地查询和编辑。</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13.</w:t>
            </w:r>
            <w:r>
              <w:rPr>
                <w:rFonts w:hint="eastAsia" w:ascii="宋体" w:hAnsi="宋体" w:eastAsia="宋体" w:cs="宋体"/>
                <w:sz w:val="24"/>
                <w:highlight w:val="none"/>
              </w:rPr>
              <w:t xml:space="preserve">提供</w:t>
            </w:r>
            <w:r>
              <w:rPr>
                <w:rFonts w:ascii="宋体" w:hAnsi="宋体" w:eastAsia="宋体" w:cs="宋体"/>
                <w:sz w:val="24"/>
                <w:highlight w:val="none"/>
              </w:rPr>
              <w:t xml:space="preserve"> Web </w:t>
            </w:r>
            <w:r>
              <w:rPr>
                <w:rFonts w:hint="eastAsia" w:ascii="宋体" w:hAnsi="宋体" w:eastAsia="宋体" w:cs="宋体"/>
                <w:sz w:val="24"/>
                <w:highlight w:val="none"/>
              </w:rPr>
              <w:t xml:space="preserve">打印服务，可将</w:t>
            </w:r>
            <w:r>
              <w:rPr>
                <w:rFonts w:ascii="宋体" w:hAnsi="宋体" w:eastAsia="宋体" w:cs="宋体"/>
                <w:sz w:val="24"/>
                <w:highlight w:val="none"/>
              </w:rPr>
              <w:t xml:space="preserve"> Web </w:t>
            </w:r>
            <w:r>
              <w:rPr>
                <w:rFonts w:hint="eastAsia" w:ascii="宋体" w:hAnsi="宋体" w:eastAsia="宋体" w:cs="宋体"/>
                <w:sz w:val="24"/>
                <w:highlight w:val="none"/>
              </w:rPr>
              <w:t xml:space="preserve">应用中制作的</w:t>
            </w:r>
            <w:r>
              <w:rPr>
                <w:rFonts w:ascii="宋体" w:hAnsi="宋体" w:eastAsia="宋体" w:cs="宋体"/>
                <w:sz w:val="24"/>
                <w:highlight w:val="none"/>
              </w:rPr>
              <w:t xml:space="preserve"> Web </w:t>
            </w:r>
            <w:r>
              <w:rPr>
                <w:rFonts w:hint="eastAsia" w:ascii="宋体" w:hAnsi="宋体" w:eastAsia="宋体" w:cs="宋体"/>
                <w:sz w:val="24"/>
                <w:highlight w:val="none"/>
              </w:rPr>
              <w:t xml:space="preserve">地图输出为可打印的地图文档。</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14.</w:t>
            </w:r>
            <w:r>
              <w:rPr>
                <w:rFonts w:hint="eastAsia" w:ascii="宋体" w:hAnsi="宋体" w:eastAsia="宋体" w:cs="宋体"/>
                <w:sz w:val="24"/>
                <w:highlight w:val="none"/>
              </w:rPr>
              <w:t xml:space="preserve">支持矢量瓦片的图层：支持</w:t>
            </w:r>
            <w:r>
              <w:rPr>
                <w:rFonts w:ascii="宋体" w:hAnsi="宋体" w:eastAsia="宋体" w:cs="宋体"/>
                <w:sz w:val="24"/>
                <w:highlight w:val="none"/>
              </w:rPr>
              <w:t xml:space="preserve">MVT</w:t>
            </w:r>
            <w:r>
              <w:rPr>
                <w:rFonts w:hint="eastAsia" w:ascii="宋体" w:hAnsi="宋体" w:eastAsia="宋体" w:cs="宋体"/>
                <w:sz w:val="24"/>
                <w:highlight w:val="none"/>
              </w:rPr>
              <w:t xml:space="preserve">格式。包括支持矢量对象选择、属性查询、根据属性字段值设置颜色和可见性、大规模的矢量数据高效绘制。</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15.</w:t>
            </w:r>
            <w:r>
              <w:rPr>
                <w:rFonts w:hint="eastAsia" w:ascii="宋体" w:hAnsi="宋体" w:eastAsia="宋体" w:cs="宋体"/>
                <w:sz w:val="24"/>
                <w:highlight w:val="none"/>
              </w:rPr>
              <w:t xml:space="preserve">支持实例化图层，包括大规模三维符号化对象和模型的动态创建、编辑、修改、删除以及支持批量绘制。</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16.</w:t>
            </w:r>
            <w:r>
              <w:rPr>
                <w:rFonts w:hint="eastAsia" w:ascii="宋体" w:hAnsi="宋体" w:eastAsia="宋体" w:cs="宋体"/>
                <w:sz w:val="24"/>
                <w:highlight w:val="none"/>
              </w:rPr>
              <w:t xml:space="preserve"> 支持服务实例动态化管理，当存量</w:t>
            </w:r>
            <w:r>
              <w:rPr>
                <w:rFonts w:ascii="宋体" w:hAnsi="宋体" w:eastAsia="宋体" w:cs="宋体"/>
                <w:sz w:val="24"/>
                <w:highlight w:val="none"/>
              </w:rPr>
              <w:t xml:space="preserve">GIS</w:t>
            </w:r>
            <w:r>
              <w:rPr>
                <w:rFonts w:hint="eastAsia" w:ascii="宋体" w:hAnsi="宋体" w:eastAsia="宋体" w:cs="宋体"/>
                <w:sz w:val="24"/>
                <w:highlight w:val="none"/>
              </w:rPr>
              <w:t xml:space="preserve">服务较多时，能够有效提升</w:t>
            </w:r>
            <w:r>
              <w:rPr>
                <w:rFonts w:ascii="宋体" w:hAnsi="宋体" w:eastAsia="宋体" w:cs="宋体"/>
                <w:sz w:val="24"/>
                <w:highlight w:val="none"/>
              </w:rPr>
              <w:t xml:space="preserve">iServer</w:t>
            </w:r>
            <w:r>
              <w:rPr>
                <w:rFonts w:hint="eastAsia" w:ascii="宋体" w:hAnsi="宋体" w:eastAsia="宋体" w:cs="宋体"/>
                <w:sz w:val="24"/>
                <w:highlight w:val="none"/>
              </w:rPr>
              <w:t xml:space="preserve">启动速度，并能主动销毁空闲服务实例、控制最大在线服务实例数，从而降低资源占用，提升系统可用性。</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17.</w:t>
            </w:r>
            <w:r>
              <w:rPr>
                <w:rFonts w:hint="eastAsia" w:ascii="宋体" w:hAnsi="宋体" w:eastAsia="宋体" w:cs="宋体"/>
                <w:sz w:val="24"/>
                <w:highlight w:val="none"/>
              </w:rPr>
              <w:t xml:space="preserve"> 提供多节点</w:t>
            </w:r>
            <w:r>
              <w:rPr>
                <w:rFonts w:ascii="宋体" w:hAnsi="宋体" w:eastAsia="宋体" w:cs="宋体"/>
                <w:sz w:val="24"/>
                <w:highlight w:val="none"/>
              </w:rPr>
              <w:t xml:space="preserve">GIS</w:t>
            </w:r>
            <w:r>
              <w:rPr>
                <w:rFonts w:hint="eastAsia" w:ascii="宋体" w:hAnsi="宋体" w:eastAsia="宋体" w:cs="宋体"/>
                <w:sz w:val="24"/>
                <w:highlight w:val="none"/>
              </w:rPr>
              <w:t xml:space="preserve">服务自动同步能力，支持基于数据库（</w:t>
            </w:r>
            <w:r>
              <w:rPr>
                <w:rFonts w:ascii="宋体" w:hAnsi="宋体" w:eastAsia="宋体" w:cs="宋体"/>
                <w:sz w:val="24"/>
                <w:highlight w:val="none"/>
              </w:rPr>
              <w:t xml:space="preserve">PostgreSQL</w:t>
            </w:r>
            <w:r>
              <w:rPr>
                <w:rFonts w:hint="eastAsia" w:ascii="宋体" w:hAnsi="宋体" w:eastAsia="宋体" w:cs="宋体"/>
                <w:sz w:val="24"/>
                <w:highlight w:val="none"/>
              </w:rPr>
              <w:t xml:space="preserve">或</w:t>
            </w:r>
            <w:r>
              <w:rPr>
                <w:rFonts w:ascii="宋体" w:hAnsi="宋体" w:eastAsia="宋体" w:cs="宋体"/>
                <w:sz w:val="24"/>
                <w:highlight w:val="none"/>
              </w:rPr>
              <w:t xml:space="preserve">Oracle</w:t>
            </w:r>
            <w:r>
              <w:rPr>
                <w:rFonts w:hint="eastAsia" w:ascii="宋体" w:hAnsi="宋体" w:eastAsia="宋体" w:cs="宋体"/>
                <w:sz w:val="24"/>
                <w:highlight w:val="none"/>
              </w:rPr>
              <w:t xml:space="preserve">）多节点服务配置信息自动同步，并能动态同步任意节点的</w:t>
            </w:r>
            <w:r>
              <w:rPr>
                <w:rFonts w:ascii="宋体" w:hAnsi="宋体" w:eastAsia="宋体" w:cs="宋体"/>
                <w:sz w:val="24"/>
                <w:highlight w:val="none"/>
              </w:rPr>
              <w:t xml:space="preserve">GIS</w:t>
            </w:r>
            <w:r>
              <w:rPr>
                <w:rFonts w:hint="eastAsia" w:ascii="宋体" w:hAnsi="宋体" w:eastAsia="宋体" w:cs="宋体"/>
                <w:sz w:val="24"/>
                <w:highlight w:val="none"/>
              </w:rPr>
              <w:t xml:space="preserve">服务变更。</w:t>
            </w:r>
            <w:r>
              <w:rPr>
                <w:rFonts w:ascii="宋体" w:hAnsi="宋体" w:eastAsia="宋体" w:cs="宋体"/>
                <w:sz w:val="24"/>
                <w:highlight w:val="none"/>
              </w:rPr>
            </w:r>
            <w:r/>
          </w:p>
          <w:p>
            <w:pPr>
              <w:pStyle w:val="737"/>
              <w:widowControl/>
              <w:rPr>
                <w:rFonts w:hint="eastAsia" w:ascii="宋体" w:hAnsi="宋体" w:eastAsia="宋体" w:cs="宋体"/>
                <w:sz w:val="24"/>
                <w:highlight w:val="none"/>
              </w:rPr>
            </w:pPr>
            <w:r>
              <w:rPr>
                <w:rFonts w:ascii="宋体" w:hAnsi="宋体" w:eastAsia="宋体" w:cs="宋体"/>
                <w:sz w:val="24"/>
                <w:highlight w:val="none"/>
              </w:rPr>
              <w:t xml:space="preserve">18.</w:t>
            </w:r>
            <w:r>
              <w:rPr>
                <w:rFonts w:hint="eastAsia" w:ascii="宋体" w:hAnsi="宋体" w:eastAsia="宋体" w:cs="宋体"/>
                <w:sz w:val="24"/>
                <w:highlight w:val="none"/>
              </w:rPr>
              <w:t xml:space="preserve"> 支持空间数据并行处理，可以将一个任务划分为多个任务同时执行，实现高性能的并行计算。</w:t>
            </w:r>
            <w:r>
              <w:rPr>
                <w:rFonts w:hint="eastAsia" w:ascii="宋体" w:hAnsi="宋体" w:eastAsia="宋体" w:cs="宋体"/>
                <w:sz w:val="24"/>
                <w:highlight w:val="none"/>
              </w:rPr>
            </w:r>
            <w:r/>
          </w:p>
        </w:tc>
      </w:tr>
      <w:tr>
        <w:trPr>
          <w:trHeight w:val="2721"/>
        </w:trPr>
        <w:tc>
          <w:tcPr>
            <w:shd w:val="clear" w:color="000000" w:fill="ffffff"/>
            <w:tcW w:w="947"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shd w:val="clear" w:color="000000" w:fill="ffffff"/>
            <w:tcW w:w="1752"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二三维一体化桌面GIS软件标准版</w:t>
            </w:r>
            <w:r>
              <w:rPr>
                <w:rFonts w:hint="eastAsia" w:ascii="宋体" w:hAnsi="宋体" w:eastAsia="宋体" w:cs="宋体"/>
                <w:sz w:val="24"/>
                <w:highlight w:val="none"/>
              </w:rPr>
            </w:r>
            <w:r/>
          </w:p>
        </w:tc>
        <w:tc>
          <w:tcPr>
            <w:shd w:val="clear" w:color="000000" w:fill="ffffff"/>
            <w:tcW w:w="966" w:type="dxa"/>
            <w:vAlign w:val="center"/>
            <w:textDirection w:val="lrTb"/>
            <w:noWrap w:val="false"/>
          </w:tcPr>
          <w:p>
            <w:pPr>
              <w:pStyle w:val="73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shd w:val="clear" w:color="000000" w:fill="ffffff"/>
            <w:tcW w:w="4631" w:type="dxa"/>
            <w:vAlign w:val="center"/>
            <w:textDirection w:val="lrTb"/>
            <w:noWrap w:val="false"/>
          </w:tcPr>
          <w:p>
            <w:pPr>
              <w:pStyle w:val="737"/>
              <w:widowControl/>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总体能力：</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①具备二三维一体化的数据管理与处理、编辑、制图、分析、二三维标绘等功能，支持在线地图服务访问及云端资源协同共享，提供可视化建模，分布式数据分析处理，可用于空间数据的生产、加工和分析；</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②支持操作系统系列</w:t>
            </w:r>
            <w:r>
              <w:rPr>
                <w:rFonts w:ascii="宋体" w:hAnsi="宋体" w:eastAsia="宋体" w:cs="宋体"/>
                <w:sz w:val="24"/>
                <w:highlight w:val="none"/>
              </w:rPr>
              <w:t xml:space="preserve">Linux</w:t>
            </w:r>
            <w:r>
              <w:rPr>
                <w:rFonts w:hint="eastAsia" w:ascii="宋体" w:hAnsi="宋体" w:eastAsia="宋体" w:cs="宋体"/>
                <w:sz w:val="24"/>
                <w:highlight w:val="none"/>
              </w:rPr>
              <w:t xml:space="preserve">、</w:t>
            </w:r>
            <w:r>
              <w:rPr>
                <w:rFonts w:ascii="宋体" w:hAnsi="宋体" w:eastAsia="宋体" w:cs="宋体"/>
                <w:sz w:val="24"/>
                <w:highlight w:val="none"/>
              </w:rPr>
              <w:t xml:space="preserve">Windows </w:t>
            </w:r>
            <w:r>
              <w:rPr>
                <w:rFonts w:hint="eastAsia" w:ascii="宋体" w:hAnsi="宋体" w:eastAsia="宋体" w:cs="宋体"/>
                <w:sz w:val="24"/>
                <w:highlight w:val="none"/>
              </w:rPr>
              <w:t xml:space="preserve">等，包括自主操作系统麒麟、深度、统信</w:t>
            </w:r>
            <w:r>
              <w:rPr>
                <w:rFonts w:ascii="宋体" w:hAnsi="宋体" w:eastAsia="宋体" w:cs="宋体"/>
                <w:sz w:val="24"/>
                <w:highlight w:val="none"/>
              </w:rPr>
              <w:t xml:space="preserve">UOS</w:t>
            </w:r>
            <w:r>
              <w:rPr>
                <w:rFonts w:hint="eastAsia" w:ascii="宋体" w:hAnsi="宋体" w:eastAsia="宋体" w:cs="宋体"/>
                <w:sz w:val="24"/>
                <w:highlight w:val="none"/>
              </w:rPr>
              <w:t xml:space="preserve">、中科方德等；</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数据转换：</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①支持导入多种矢量数据交换格式，包括</w:t>
            </w:r>
            <w:r>
              <w:rPr>
                <w:rFonts w:ascii="宋体" w:hAnsi="宋体" w:eastAsia="宋体" w:cs="宋体"/>
                <w:sz w:val="24"/>
                <w:highlight w:val="none"/>
              </w:rPr>
              <w:t xml:space="preserve">SHP</w:t>
            </w:r>
            <w:r>
              <w:rPr>
                <w:rFonts w:hint="eastAsia" w:ascii="宋体" w:hAnsi="宋体" w:eastAsia="宋体" w:cs="宋体"/>
                <w:sz w:val="24"/>
                <w:highlight w:val="none"/>
              </w:rPr>
              <w:t xml:space="preserve">、</w:t>
            </w:r>
            <w:r>
              <w:rPr>
                <w:rFonts w:ascii="宋体" w:hAnsi="宋体" w:eastAsia="宋体" w:cs="宋体"/>
                <w:sz w:val="24"/>
                <w:highlight w:val="none"/>
              </w:rPr>
              <w:t xml:space="preserve">DXF</w:t>
            </w:r>
            <w:r>
              <w:rPr>
                <w:rFonts w:hint="eastAsia" w:ascii="宋体" w:hAnsi="宋体" w:eastAsia="宋体" w:cs="宋体"/>
                <w:sz w:val="24"/>
                <w:highlight w:val="none"/>
              </w:rPr>
              <w:t xml:space="preserve">、</w:t>
            </w:r>
            <w:r>
              <w:rPr>
                <w:rFonts w:ascii="宋体" w:hAnsi="宋体" w:eastAsia="宋体" w:cs="宋体"/>
                <w:sz w:val="24"/>
                <w:highlight w:val="none"/>
              </w:rPr>
              <w:t xml:space="preserve">MIF</w:t>
            </w:r>
            <w:r>
              <w:rPr>
                <w:rFonts w:hint="eastAsia" w:ascii="宋体" w:hAnsi="宋体" w:eastAsia="宋体" w:cs="宋体"/>
                <w:sz w:val="24"/>
                <w:highlight w:val="none"/>
              </w:rPr>
              <w:t xml:space="preserve">、</w:t>
            </w:r>
            <w:r>
              <w:rPr>
                <w:rFonts w:ascii="宋体" w:hAnsi="宋体" w:eastAsia="宋体" w:cs="宋体"/>
                <w:sz w:val="24"/>
                <w:highlight w:val="none"/>
              </w:rPr>
              <w:t xml:space="preserve">TAB</w:t>
            </w:r>
            <w:r>
              <w:rPr>
                <w:rFonts w:hint="eastAsia" w:ascii="宋体" w:hAnsi="宋体" w:eastAsia="宋体" w:cs="宋体"/>
                <w:sz w:val="24"/>
                <w:highlight w:val="none"/>
              </w:rPr>
              <w:t xml:space="preserve">、</w:t>
            </w:r>
            <w:r>
              <w:rPr>
                <w:rFonts w:ascii="宋体" w:hAnsi="宋体" w:eastAsia="宋体" w:cs="宋体"/>
                <w:sz w:val="24"/>
                <w:highlight w:val="none"/>
              </w:rPr>
              <w:t xml:space="preserve">WOR</w:t>
            </w:r>
            <w:r>
              <w:rPr>
                <w:rFonts w:hint="eastAsia" w:ascii="宋体" w:hAnsi="宋体" w:eastAsia="宋体" w:cs="宋体"/>
                <w:sz w:val="24"/>
                <w:highlight w:val="none"/>
              </w:rPr>
              <w:t xml:space="preserve">、</w:t>
            </w:r>
            <w:r>
              <w:rPr>
                <w:rFonts w:ascii="宋体" w:hAnsi="宋体" w:eastAsia="宋体" w:cs="宋体"/>
                <w:sz w:val="24"/>
                <w:highlight w:val="none"/>
              </w:rPr>
              <w:t xml:space="preserve">CSV</w:t>
            </w:r>
            <w:r>
              <w:rPr>
                <w:rFonts w:hint="eastAsia" w:ascii="宋体" w:hAnsi="宋体" w:eastAsia="宋体" w:cs="宋体"/>
                <w:sz w:val="24"/>
                <w:highlight w:val="none"/>
              </w:rPr>
              <w:t xml:space="preserve">、</w:t>
            </w:r>
            <w:r>
              <w:rPr>
                <w:rFonts w:ascii="宋体" w:hAnsi="宋体" w:eastAsia="宋体" w:cs="宋体"/>
                <w:sz w:val="24"/>
                <w:highlight w:val="none"/>
              </w:rPr>
              <w:t xml:space="preserve">GPX</w:t>
            </w:r>
            <w:r>
              <w:rPr>
                <w:rFonts w:hint="eastAsia" w:ascii="宋体" w:hAnsi="宋体" w:eastAsia="宋体" w:cs="宋体"/>
                <w:sz w:val="24"/>
                <w:highlight w:val="none"/>
              </w:rPr>
              <w:t xml:space="preserve">、</w:t>
            </w:r>
            <w:r>
              <w:rPr>
                <w:rFonts w:ascii="宋体" w:hAnsi="宋体" w:eastAsia="宋体" w:cs="宋体"/>
                <w:sz w:val="24"/>
                <w:highlight w:val="none"/>
              </w:rPr>
              <w:t xml:space="preserve">Geojson</w:t>
            </w:r>
            <w:r>
              <w:rPr>
                <w:rFonts w:hint="eastAsia" w:ascii="宋体" w:hAnsi="宋体" w:eastAsia="宋体" w:cs="宋体"/>
                <w:sz w:val="24"/>
                <w:highlight w:val="none"/>
              </w:rPr>
              <w:t xml:space="preserve">、</w:t>
            </w:r>
            <w:r>
              <w:rPr>
                <w:rFonts w:ascii="宋体" w:hAnsi="宋体" w:eastAsia="宋体" w:cs="宋体"/>
                <w:sz w:val="24"/>
                <w:highlight w:val="none"/>
              </w:rPr>
              <w:t xml:space="preserve">SampleGeojson</w:t>
            </w:r>
            <w:r>
              <w:rPr>
                <w:rFonts w:hint="eastAsia" w:ascii="宋体" w:hAnsi="宋体" w:eastAsia="宋体" w:cs="宋体"/>
                <w:sz w:val="24"/>
                <w:highlight w:val="none"/>
              </w:rPr>
              <w:t xml:space="preserve">等；支持将矢量数据导出为</w:t>
            </w:r>
            <w:r>
              <w:rPr>
                <w:rFonts w:ascii="宋体" w:hAnsi="宋体" w:eastAsia="宋体" w:cs="宋体"/>
                <w:sz w:val="24"/>
                <w:highlight w:val="none"/>
              </w:rPr>
              <w:t xml:space="preserve">SHP</w:t>
            </w:r>
            <w:r>
              <w:rPr>
                <w:rFonts w:hint="eastAsia" w:ascii="宋体" w:hAnsi="宋体" w:eastAsia="宋体" w:cs="宋体"/>
                <w:sz w:val="24"/>
                <w:highlight w:val="none"/>
              </w:rPr>
              <w:t xml:space="preserve">、</w:t>
            </w:r>
            <w:r>
              <w:rPr>
                <w:rFonts w:ascii="宋体" w:hAnsi="宋体" w:eastAsia="宋体" w:cs="宋体"/>
                <w:sz w:val="24"/>
                <w:highlight w:val="none"/>
              </w:rPr>
              <w:t xml:space="preserve">CSV</w:t>
            </w:r>
            <w:r>
              <w:rPr>
                <w:rFonts w:hint="eastAsia" w:ascii="宋体" w:hAnsi="宋体" w:eastAsia="宋体" w:cs="宋体"/>
                <w:sz w:val="24"/>
                <w:highlight w:val="none"/>
              </w:rPr>
              <w:t xml:space="preserve">、</w:t>
            </w:r>
            <w:r>
              <w:rPr>
                <w:rFonts w:ascii="宋体" w:hAnsi="宋体" w:eastAsia="宋体" w:cs="宋体"/>
                <w:sz w:val="24"/>
                <w:highlight w:val="none"/>
              </w:rPr>
              <w:t xml:space="preserve">GeoJSON</w:t>
            </w:r>
            <w:r>
              <w:rPr>
                <w:rFonts w:hint="eastAsia" w:ascii="宋体" w:hAnsi="宋体" w:eastAsia="宋体" w:cs="宋体"/>
                <w:sz w:val="24"/>
                <w:highlight w:val="none"/>
              </w:rPr>
              <w:t xml:space="preserve">、</w:t>
            </w:r>
            <w:r>
              <w:rPr>
                <w:rFonts w:ascii="宋体" w:hAnsi="宋体" w:eastAsia="宋体" w:cs="宋体"/>
                <w:sz w:val="24"/>
                <w:highlight w:val="none"/>
              </w:rPr>
              <w:t xml:space="preserve">SimpleJSON</w:t>
            </w:r>
            <w:r>
              <w:rPr>
                <w:rFonts w:hint="eastAsia" w:ascii="宋体" w:hAnsi="宋体" w:eastAsia="宋体" w:cs="宋体"/>
                <w:sz w:val="24"/>
                <w:highlight w:val="none"/>
              </w:rPr>
              <w:t xml:space="preserve">、</w:t>
            </w:r>
            <w:r>
              <w:rPr>
                <w:rFonts w:ascii="宋体" w:hAnsi="宋体" w:eastAsia="宋体" w:cs="宋体"/>
                <w:sz w:val="24"/>
                <w:highlight w:val="none"/>
              </w:rPr>
              <w:t xml:space="preserve">GDBVector</w:t>
            </w:r>
            <w:r>
              <w:rPr>
                <w:rFonts w:hint="eastAsia" w:ascii="宋体" w:hAnsi="宋体" w:eastAsia="宋体" w:cs="宋体"/>
                <w:sz w:val="24"/>
                <w:highlight w:val="none"/>
              </w:rPr>
              <w:t xml:space="preserve">、</w:t>
            </w:r>
            <w:r>
              <w:rPr>
                <w:rFonts w:ascii="宋体" w:hAnsi="宋体" w:eastAsia="宋体" w:cs="宋体"/>
                <w:sz w:val="24"/>
                <w:highlight w:val="none"/>
              </w:rPr>
              <w:t xml:space="preserve">GJB</w:t>
            </w:r>
            <w:r>
              <w:rPr>
                <w:rFonts w:hint="eastAsia" w:ascii="宋体" w:hAnsi="宋体" w:eastAsia="宋体" w:cs="宋体"/>
                <w:sz w:val="24"/>
                <w:highlight w:val="none"/>
              </w:rPr>
              <w:t xml:space="preserve">、</w:t>
            </w:r>
            <w:r>
              <w:rPr>
                <w:rFonts w:ascii="宋体" w:hAnsi="宋体" w:eastAsia="宋体" w:cs="宋体"/>
                <w:sz w:val="24"/>
                <w:highlight w:val="none"/>
              </w:rPr>
              <w:t xml:space="preserve">VCT</w:t>
            </w:r>
            <w:r>
              <w:rPr>
                <w:rFonts w:hint="eastAsia" w:ascii="宋体" w:hAnsi="宋体" w:eastAsia="宋体" w:cs="宋体"/>
                <w:sz w:val="24"/>
                <w:highlight w:val="none"/>
              </w:rPr>
              <w:t xml:space="preserve">等文件格式；</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②支持导入多种栅格数据格式，包括</w:t>
            </w:r>
            <w:r>
              <w:rPr>
                <w:rFonts w:ascii="宋体" w:hAnsi="宋体" w:eastAsia="宋体" w:cs="宋体"/>
                <w:sz w:val="24"/>
                <w:highlight w:val="none"/>
              </w:rPr>
              <w:t xml:space="preserve">*.tiff</w:t>
            </w:r>
            <w:r>
              <w:rPr>
                <w:rFonts w:hint="eastAsia" w:ascii="宋体" w:hAnsi="宋体" w:eastAsia="宋体" w:cs="宋体"/>
                <w:sz w:val="24"/>
                <w:highlight w:val="none"/>
              </w:rPr>
              <w:t xml:space="preserve">、</w:t>
            </w:r>
            <w:r>
              <w:rPr>
                <w:rFonts w:ascii="宋体" w:hAnsi="宋体" w:eastAsia="宋体" w:cs="宋体"/>
                <w:sz w:val="24"/>
                <w:highlight w:val="none"/>
              </w:rPr>
              <w:t xml:space="preserve">*.img</w:t>
            </w:r>
            <w:r>
              <w:rPr>
                <w:rFonts w:hint="eastAsia" w:ascii="宋体" w:hAnsi="宋体" w:eastAsia="宋体" w:cs="宋体"/>
                <w:sz w:val="24"/>
                <w:highlight w:val="none"/>
              </w:rPr>
              <w:t xml:space="preserve">、</w:t>
            </w:r>
            <w:r>
              <w:rPr>
                <w:rFonts w:ascii="宋体" w:hAnsi="宋体" w:eastAsia="宋体" w:cs="宋体"/>
                <w:sz w:val="24"/>
                <w:highlight w:val="none"/>
              </w:rPr>
              <w:t xml:space="preserve">*.sit</w:t>
            </w:r>
            <w:r>
              <w:rPr>
                <w:rFonts w:hint="eastAsia" w:ascii="宋体" w:hAnsi="宋体" w:eastAsia="宋体" w:cs="宋体"/>
                <w:sz w:val="24"/>
                <w:highlight w:val="none"/>
              </w:rPr>
              <w:t xml:space="preserve">、</w:t>
            </w:r>
            <w:r>
              <w:rPr>
                <w:rFonts w:ascii="宋体" w:hAnsi="宋体" w:eastAsia="宋体" w:cs="宋体"/>
                <w:sz w:val="24"/>
                <w:highlight w:val="none"/>
              </w:rPr>
              <w:t xml:space="preserve">*.ecw</w:t>
            </w:r>
            <w:r>
              <w:rPr>
                <w:rFonts w:hint="eastAsia" w:ascii="宋体" w:hAnsi="宋体" w:eastAsia="宋体" w:cs="宋体"/>
                <w:sz w:val="24"/>
                <w:highlight w:val="none"/>
              </w:rPr>
              <w:t xml:space="preserve">、</w:t>
            </w:r>
            <w:r>
              <w:rPr>
                <w:rFonts w:ascii="宋体" w:hAnsi="宋体" w:eastAsia="宋体" w:cs="宋体"/>
                <w:sz w:val="24"/>
                <w:highlight w:val="none"/>
              </w:rPr>
              <w:t xml:space="preserve">*.bil</w:t>
            </w:r>
            <w:r>
              <w:rPr>
                <w:rFonts w:hint="eastAsia" w:ascii="宋体" w:hAnsi="宋体" w:eastAsia="宋体" w:cs="宋体"/>
                <w:sz w:val="24"/>
                <w:highlight w:val="none"/>
              </w:rPr>
              <w:t xml:space="preserve">、</w:t>
            </w:r>
            <w:r>
              <w:rPr>
                <w:rFonts w:ascii="宋体" w:hAnsi="宋体" w:eastAsia="宋体" w:cs="宋体"/>
                <w:sz w:val="24"/>
                <w:highlight w:val="none"/>
              </w:rPr>
              <w:t xml:space="preserve">*.dem</w:t>
            </w:r>
            <w:r>
              <w:rPr>
                <w:rFonts w:hint="eastAsia" w:ascii="宋体" w:hAnsi="宋体" w:eastAsia="宋体" w:cs="宋体"/>
                <w:sz w:val="24"/>
                <w:highlight w:val="none"/>
              </w:rPr>
              <w:t xml:space="preserve">、</w:t>
            </w:r>
            <w:r>
              <w:rPr>
                <w:rFonts w:ascii="宋体" w:hAnsi="宋体" w:eastAsia="宋体" w:cs="宋体"/>
                <w:sz w:val="24"/>
                <w:highlight w:val="none"/>
              </w:rPr>
              <w:t xml:space="preserve">*.raw</w:t>
            </w:r>
            <w:r>
              <w:rPr>
                <w:rFonts w:hint="eastAsia" w:ascii="宋体" w:hAnsi="宋体" w:eastAsia="宋体" w:cs="宋体"/>
                <w:sz w:val="24"/>
                <w:highlight w:val="none"/>
              </w:rPr>
              <w:t xml:space="preserve">、</w:t>
            </w:r>
            <w:r>
              <w:rPr>
                <w:rFonts w:ascii="宋体" w:hAnsi="宋体" w:eastAsia="宋体" w:cs="宋体"/>
                <w:sz w:val="24"/>
                <w:highlight w:val="none"/>
              </w:rPr>
              <w:t xml:space="preserve">NetCDF</w:t>
            </w:r>
            <w:r>
              <w:rPr>
                <w:rFonts w:hint="eastAsia" w:ascii="宋体" w:hAnsi="宋体" w:eastAsia="宋体" w:cs="宋体"/>
                <w:sz w:val="24"/>
                <w:highlight w:val="none"/>
              </w:rPr>
              <w:t xml:space="preserve">等；</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③支持导入主流模型格式，包括</w:t>
            </w:r>
            <w:r>
              <w:rPr>
                <w:rFonts w:ascii="宋体" w:hAnsi="宋体" w:eastAsia="宋体" w:cs="宋体"/>
                <w:sz w:val="24"/>
                <w:highlight w:val="none"/>
              </w:rPr>
              <w:t xml:space="preserve">*.osgb</w:t>
            </w:r>
            <w:r>
              <w:rPr>
                <w:rFonts w:hint="eastAsia" w:ascii="宋体" w:hAnsi="宋体" w:eastAsia="宋体" w:cs="宋体"/>
                <w:sz w:val="24"/>
                <w:highlight w:val="none"/>
              </w:rPr>
              <w:t xml:space="preserve">、</w:t>
            </w:r>
            <w:r>
              <w:rPr>
                <w:rFonts w:ascii="宋体" w:hAnsi="宋体" w:eastAsia="宋体" w:cs="宋体"/>
                <w:sz w:val="24"/>
                <w:highlight w:val="none"/>
              </w:rPr>
              <w:t xml:space="preserve">*.3ds</w:t>
            </w:r>
            <w:r>
              <w:rPr>
                <w:rFonts w:hint="eastAsia" w:ascii="宋体" w:hAnsi="宋体" w:eastAsia="宋体" w:cs="宋体"/>
                <w:sz w:val="24"/>
                <w:highlight w:val="none"/>
              </w:rPr>
              <w:t xml:space="preserve">、</w:t>
            </w:r>
            <w:r>
              <w:rPr>
                <w:rFonts w:ascii="宋体" w:hAnsi="宋体" w:eastAsia="宋体" w:cs="宋体"/>
                <w:sz w:val="24"/>
                <w:highlight w:val="none"/>
              </w:rPr>
              <w:t xml:space="preserve">*.x</w:t>
            </w:r>
            <w:r>
              <w:rPr>
                <w:rFonts w:hint="eastAsia" w:ascii="宋体" w:hAnsi="宋体" w:eastAsia="宋体" w:cs="宋体"/>
                <w:sz w:val="24"/>
                <w:highlight w:val="none"/>
              </w:rPr>
              <w:t xml:space="preserve">、</w:t>
            </w:r>
            <w:r>
              <w:rPr>
                <w:rFonts w:ascii="宋体" w:hAnsi="宋体" w:eastAsia="宋体" w:cs="宋体"/>
                <w:sz w:val="24"/>
                <w:highlight w:val="none"/>
              </w:rPr>
              <w:t xml:space="preserve">*.dxf</w:t>
            </w:r>
            <w:r>
              <w:rPr>
                <w:rFonts w:hint="eastAsia" w:ascii="宋体" w:hAnsi="宋体" w:eastAsia="宋体" w:cs="宋体"/>
                <w:sz w:val="24"/>
                <w:highlight w:val="none"/>
              </w:rPr>
              <w:t xml:space="preserve">、</w:t>
            </w:r>
            <w:r>
              <w:rPr>
                <w:rFonts w:ascii="宋体" w:hAnsi="宋体" w:eastAsia="宋体" w:cs="宋体"/>
                <w:sz w:val="24"/>
                <w:highlight w:val="none"/>
              </w:rPr>
              <w:t xml:space="preserve">*.obj</w:t>
            </w:r>
            <w:r>
              <w:rPr>
                <w:rFonts w:hint="eastAsia" w:ascii="宋体" w:hAnsi="宋体" w:eastAsia="宋体" w:cs="宋体"/>
                <w:sz w:val="24"/>
                <w:highlight w:val="none"/>
              </w:rPr>
              <w:t xml:space="preserve">、</w:t>
            </w:r>
            <w:r>
              <w:rPr>
                <w:rFonts w:ascii="宋体" w:hAnsi="宋体" w:eastAsia="宋体" w:cs="宋体"/>
                <w:sz w:val="24"/>
                <w:highlight w:val="none"/>
              </w:rPr>
              <w:t xml:space="preserve">*.dae</w:t>
            </w:r>
            <w:r>
              <w:rPr>
                <w:rFonts w:hint="eastAsia" w:ascii="宋体" w:hAnsi="宋体" w:eastAsia="宋体" w:cs="宋体"/>
                <w:sz w:val="24"/>
                <w:highlight w:val="none"/>
              </w:rPr>
              <w:t xml:space="preserve">、</w:t>
            </w:r>
            <w:r>
              <w:rPr>
                <w:rFonts w:ascii="宋体" w:hAnsi="宋体" w:eastAsia="宋体" w:cs="宋体"/>
                <w:sz w:val="24"/>
                <w:highlight w:val="none"/>
              </w:rPr>
              <w:t xml:space="preserve">*.fbx</w:t>
            </w:r>
            <w:r>
              <w:rPr>
                <w:rFonts w:hint="eastAsia" w:ascii="宋体" w:hAnsi="宋体" w:eastAsia="宋体" w:cs="宋体"/>
                <w:sz w:val="24"/>
                <w:highlight w:val="none"/>
              </w:rPr>
              <w:t xml:space="preserve">、</w:t>
            </w:r>
            <w:r>
              <w:rPr>
                <w:rFonts w:ascii="宋体" w:hAnsi="宋体" w:eastAsia="宋体" w:cs="宋体"/>
                <w:sz w:val="24"/>
                <w:highlight w:val="none"/>
              </w:rPr>
              <w:t xml:space="preserve">*.off</w:t>
            </w:r>
            <w:r>
              <w:rPr>
                <w:rFonts w:hint="eastAsia" w:ascii="宋体" w:hAnsi="宋体" w:eastAsia="宋体" w:cs="宋体"/>
                <w:sz w:val="24"/>
                <w:highlight w:val="none"/>
              </w:rPr>
              <w:t xml:space="preserve">、</w:t>
            </w:r>
            <w:r>
              <w:rPr>
                <w:rFonts w:ascii="宋体" w:hAnsi="宋体" w:eastAsia="宋体" w:cs="宋体"/>
                <w:sz w:val="24"/>
                <w:highlight w:val="none"/>
              </w:rPr>
              <w:t xml:space="preserve">*.stl</w:t>
            </w:r>
            <w:r>
              <w:rPr>
                <w:rFonts w:hint="eastAsia" w:ascii="宋体" w:hAnsi="宋体" w:eastAsia="宋体" w:cs="宋体"/>
                <w:sz w:val="24"/>
                <w:highlight w:val="none"/>
              </w:rPr>
              <w:t xml:space="preserve">。支持</w:t>
            </w:r>
            <w:r>
              <w:rPr>
                <w:rFonts w:ascii="宋体" w:hAnsi="宋体" w:eastAsia="宋体" w:cs="宋体"/>
                <w:sz w:val="24"/>
                <w:highlight w:val="none"/>
              </w:rPr>
              <w:t xml:space="preserve">OSGB</w:t>
            </w:r>
            <w:r>
              <w:rPr>
                <w:rFonts w:hint="eastAsia" w:ascii="宋体" w:hAnsi="宋体" w:eastAsia="宋体" w:cs="宋体"/>
                <w:sz w:val="24"/>
                <w:highlight w:val="none"/>
              </w:rPr>
              <w:t xml:space="preserve">、</w:t>
            </w:r>
            <w:r>
              <w:rPr>
                <w:rFonts w:ascii="宋体" w:hAnsi="宋体" w:eastAsia="宋体" w:cs="宋体"/>
                <w:sz w:val="24"/>
                <w:highlight w:val="none"/>
              </w:rPr>
              <w:t xml:space="preserve">S3M</w:t>
            </w:r>
            <w:r>
              <w:rPr>
                <w:rFonts w:hint="eastAsia" w:ascii="宋体" w:hAnsi="宋体" w:eastAsia="宋体" w:cs="宋体"/>
                <w:sz w:val="24"/>
                <w:highlight w:val="none"/>
              </w:rPr>
              <w:t xml:space="preserve">、</w:t>
            </w:r>
            <w:r>
              <w:rPr>
                <w:rFonts w:ascii="宋体" w:hAnsi="宋体" w:eastAsia="宋体" w:cs="宋体"/>
                <w:sz w:val="24"/>
                <w:highlight w:val="none"/>
              </w:rPr>
              <w:t xml:space="preserve">STL</w:t>
            </w:r>
            <w:r>
              <w:rPr>
                <w:rFonts w:hint="eastAsia" w:ascii="宋体" w:hAnsi="宋体" w:eastAsia="宋体" w:cs="宋体"/>
                <w:sz w:val="24"/>
                <w:highlight w:val="none"/>
              </w:rPr>
              <w:t xml:space="preserve">、</w:t>
            </w:r>
            <w:r>
              <w:rPr>
                <w:rFonts w:ascii="宋体" w:hAnsi="宋体" w:eastAsia="宋体" w:cs="宋体"/>
                <w:sz w:val="24"/>
                <w:highlight w:val="none"/>
              </w:rPr>
              <w:t xml:space="preserve">OFF</w:t>
            </w:r>
            <w:r>
              <w:rPr>
                <w:rFonts w:hint="eastAsia" w:ascii="宋体" w:hAnsi="宋体" w:eastAsia="宋体" w:cs="宋体"/>
                <w:sz w:val="24"/>
                <w:highlight w:val="none"/>
              </w:rPr>
              <w:t xml:space="preserve">多种模型格式互转。支持</w:t>
            </w:r>
            <w:r>
              <w:rPr>
                <w:rFonts w:ascii="宋体" w:hAnsi="宋体" w:eastAsia="宋体" w:cs="宋体"/>
                <w:sz w:val="24"/>
                <w:highlight w:val="none"/>
              </w:rPr>
              <w:t xml:space="preserve">OSGB</w:t>
            </w:r>
            <w:r>
              <w:rPr>
                <w:rFonts w:hint="eastAsia" w:ascii="宋体" w:hAnsi="宋体" w:eastAsia="宋体" w:cs="宋体"/>
                <w:sz w:val="24"/>
                <w:highlight w:val="none"/>
              </w:rPr>
              <w:t xml:space="preserve">、</w:t>
            </w:r>
            <w:r>
              <w:rPr>
                <w:rFonts w:ascii="宋体" w:hAnsi="宋体" w:eastAsia="宋体" w:cs="宋体"/>
                <w:sz w:val="24"/>
                <w:highlight w:val="none"/>
              </w:rPr>
              <w:t xml:space="preserve">KMZ/KML</w:t>
            </w:r>
            <w:r>
              <w:rPr>
                <w:rFonts w:hint="eastAsia" w:ascii="宋体" w:hAnsi="宋体" w:eastAsia="宋体" w:cs="宋体"/>
                <w:sz w:val="24"/>
                <w:highlight w:val="none"/>
              </w:rPr>
              <w:t xml:space="preserve">、</w:t>
            </w:r>
            <w:r>
              <w:rPr>
                <w:rFonts w:ascii="宋体" w:hAnsi="宋体" w:eastAsia="宋体" w:cs="宋体"/>
                <w:sz w:val="24"/>
                <w:highlight w:val="none"/>
              </w:rPr>
              <w:t xml:space="preserve">S3M</w:t>
            </w:r>
            <w:r>
              <w:rPr>
                <w:rFonts w:hint="eastAsia" w:ascii="宋体" w:hAnsi="宋体" w:eastAsia="宋体" w:cs="宋体"/>
                <w:sz w:val="24"/>
                <w:highlight w:val="none"/>
              </w:rPr>
              <w:t xml:space="preserve">、</w:t>
            </w:r>
            <w:r>
              <w:rPr>
                <w:rFonts w:ascii="宋体" w:hAnsi="宋体" w:eastAsia="宋体" w:cs="宋体"/>
                <w:sz w:val="24"/>
                <w:highlight w:val="none"/>
              </w:rPr>
              <w:t xml:space="preserve">OFF</w:t>
            </w:r>
            <w:r>
              <w:rPr>
                <w:rFonts w:hint="eastAsia" w:ascii="宋体" w:hAnsi="宋体" w:eastAsia="宋体" w:cs="宋体"/>
                <w:sz w:val="24"/>
                <w:highlight w:val="none"/>
              </w:rPr>
              <w:t xml:space="preserve">、</w:t>
            </w:r>
            <w:r>
              <w:rPr>
                <w:rFonts w:ascii="宋体" w:hAnsi="宋体" w:eastAsia="宋体" w:cs="宋体"/>
                <w:sz w:val="24"/>
                <w:highlight w:val="none"/>
              </w:rPr>
              <w:t xml:space="preserve">STL</w:t>
            </w:r>
            <w:r>
              <w:rPr>
                <w:rFonts w:hint="eastAsia" w:ascii="宋体" w:hAnsi="宋体" w:eastAsia="宋体" w:cs="宋体"/>
                <w:sz w:val="24"/>
                <w:highlight w:val="none"/>
              </w:rPr>
              <w:t xml:space="preserve">、</w:t>
            </w:r>
            <w:r>
              <w:rPr>
                <w:rFonts w:ascii="宋体" w:hAnsi="宋体" w:eastAsia="宋体" w:cs="宋体"/>
                <w:sz w:val="24"/>
                <w:highlight w:val="none"/>
              </w:rPr>
              <w:t xml:space="preserve">GLTF</w:t>
            </w:r>
            <w:r>
              <w:rPr>
                <w:rFonts w:hint="eastAsia" w:ascii="宋体" w:hAnsi="宋体" w:eastAsia="宋体" w:cs="宋体"/>
                <w:sz w:val="24"/>
                <w:highlight w:val="none"/>
              </w:rPr>
              <w:t xml:space="preserve">等格式模型数据导出；</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④</w:t>
            </w:r>
            <w:r>
              <w:rPr>
                <w:rFonts w:ascii="宋体" w:hAnsi="宋体" w:eastAsia="宋体" w:cs="宋体"/>
                <w:sz w:val="24"/>
                <w:highlight w:val="none"/>
              </w:rPr>
              <w:t xml:space="preserve">ARM</w:t>
            </w:r>
            <w:r>
              <w:rPr>
                <w:rFonts w:hint="eastAsia" w:ascii="宋体" w:hAnsi="宋体" w:eastAsia="宋体" w:cs="宋体"/>
                <w:sz w:val="24"/>
                <w:highlight w:val="none"/>
              </w:rPr>
              <w:t xml:space="preserve">平台支持导入</w:t>
            </w:r>
            <w:r>
              <w:rPr>
                <w:rFonts w:ascii="宋体" w:hAnsi="宋体" w:eastAsia="宋体" w:cs="宋体"/>
                <w:sz w:val="24"/>
                <w:highlight w:val="none"/>
              </w:rPr>
              <w:t xml:space="preserve">*.dxf</w:t>
            </w:r>
            <w:r>
              <w:rPr>
                <w:rFonts w:hint="eastAsia" w:ascii="宋体" w:hAnsi="宋体" w:eastAsia="宋体" w:cs="宋体"/>
                <w:sz w:val="24"/>
                <w:highlight w:val="none"/>
              </w:rPr>
              <w:t xml:space="preserve">、</w:t>
            </w:r>
            <w:r>
              <w:rPr>
                <w:rFonts w:ascii="宋体" w:hAnsi="宋体" w:eastAsia="宋体" w:cs="宋体"/>
                <w:sz w:val="24"/>
                <w:highlight w:val="none"/>
              </w:rPr>
              <w:t xml:space="preserve">*.dwg</w:t>
            </w:r>
            <w:r>
              <w:rPr>
                <w:rFonts w:hint="eastAsia" w:ascii="宋体" w:hAnsi="宋体" w:eastAsia="宋体" w:cs="宋体"/>
                <w:sz w:val="24"/>
                <w:highlight w:val="none"/>
              </w:rPr>
              <w:t xml:space="preserve">格式的</w:t>
            </w:r>
            <w:r>
              <w:rPr>
                <w:rFonts w:ascii="宋体" w:hAnsi="宋体" w:eastAsia="宋体" w:cs="宋体"/>
                <w:sz w:val="24"/>
                <w:highlight w:val="none"/>
              </w:rPr>
              <w:t xml:space="preserve">CAD</w:t>
            </w:r>
            <w:r>
              <w:rPr>
                <w:rFonts w:hint="eastAsia" w:ascii="宋体" w:hAnsi="宋体" w:eastAsia="宋体" w:cs="宋体"/>
                <w:sz w:val="24"/>
                <w:highlight w:val="none"/>
              </w:rPr>
              <w:t xml:space="preserve">数据文件。</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⑤支持《开放式空间数据库互联互访</w:t>
            </w:r>
            <w:r>
              <w:rPr>
                <w:rFonts w:ascii="宋体" w:hAnsi="宋体" w:eastAsia="宋体" w:cs="宋体"/>
                <w:sz w:val="24"/>
                <w:highlight w:val="none"/>
              </w:rPr>
              <w:t xml:space="preserve">Opening Geospatial Database Connectivity(OGDC)</w:t>
            </w:r>
            <w:r>
              <w:rPr>
                <w:rFonts w:hint="eastAsia" w:ascii="宋体" w:hAnsi="宋体" w:eastAsia="宋体" w:cs="宋体"/>
                <w:sz w:val="24"/>
                <w:highlight w:val="none"/>
              </w:rPr>
              <w:t xml:space="preserve">》国家标准；支持通用的标准和规范，包括</w:t>
            </w:r>
            <w:r>
              <w:rPr>
                <w:rFonts w:ascii="宋体" w:hAnsi="宋体" w:eastAsia="宋体" w:cs="宋体"/>
                <w:sz w:val="24"/>
                <w:highlight w:val="none"/>
              </w:rPr>
              <w:t xml:space="preserve">WMS</w:t>
            </w:r>
            <w:r>
              <w:rPr>
                <w:rFonts w:hint="eastAsia" w:ascii="宋体" w:hAnsi="宋体" w:eastAsia="宋体" w:cs="宋体"/>
                <w:sz w:val="24"/>
                <w:highlight w:val="none"/>
              </w:rPr>
              <w:t xml:space="preserve">，</w:t>
            </w:r>
            <w:r>
              <w:rPr>
                <w:rFonts w:ascii="宋体" w:hAnsi="宋体" w:eastAsia="宋体" w:cs="宋体"/>
                <w:sz w:val="24"/>
                <w:highlight w:val="none"/>
              </w:rPr>
              <w:t xml:space="preserve">WFS</w:t>
            </w:r>
            <w:r>
              <w:rPr>
                <w:rFonts w:hint="eastAsia" w:ascii="宋体" w:hAnsi="宋体" w:eastAsia="宋体" w:cs="宋体"/>
                <w:sz w:val="24"/>
                <w:highlight w:val="none"/>
              </w:rPr>
              <w:t xml:space="preserve">，</w:t>
            </w:r>
            <w:r>
              <w:rPr>
                <w:rFonts w:ascii="宋体" w:hAnsi="宋体" w:eastAsia="宋体" w:cs="宋体"/>
                <w:sz w:val="24"/>
                <w:highlight w:val="none"/>
              </w:rPr>
              <w:t xml:space="preserve">WCS</w:t>
            </w:r>
            <w:r>
              <w:rPr>
                <w:rFonts w:hint="eastAsia" w:ascii="宋体" w:hAnsi="宋体" w:eastAsia="宋体" w:cs="宋体"/>
                <w:sz w:val="24"/>
                <w:highlight w:val="none"/>
              </w:rPr>
              <w:t xml:space="preserve">，</w:t>
            </w:r>
            <w:r>
              <w:rPr>
                <w:rFonts w:ascii="宋体" w:hAnsi="宋体" w:eastAsia="宋体" w:cs="宋体"/>
                <w:sz w:val="24"/>
                <w:highlight w:val="none"/>
              </w:rPr>
              <w:t xml:space="preserve">WMTS</w:t>
            </w:r>
            <w:r>
              <w:rPr>
                <w:rFonts w:hint="eastAsia" w:ascii="宋体" w:hAnsi="宋体" w:eastAsia="宋体" w:cs="宋体"/>
                <w:sz w:val="24"/>
                <w:highlight w:val="none"/>
              </w:rPr>
              <w:t xml:space="preserve">等</w:t>
            </w:r>
            <w:r>
              <w:rPr>
                <w:rFonts w:ascii="宋体" w:hAnsi="宋体" w:eastAsia="宋体" w:cs="宋体"/>
                <w:sz w:val="24"/>
                <w:highlight w:val="none"/>
              </w:rPr>
              <w:t xml:space="preserve">OGC</w:t>
            </w:r>
            <w:r>
              <w:rPr>
                <w:rFonts w:hint="eastAsia" w:ascii="宋体" w:hAnsi="宋体" w:eastAsia="宋体" w:cs="宋体"/>
                <w:sz w:val="24"/>
                <w:highlight w:val="none"/>
              </w:rPr>
              <w:t xml:space="preserve">标准，以及</w:t>
            </w:r>
            <w:r>
              <w:rPr>
                <w:rFonts w:ascii="宋体" w:hAnsi="宋体" w:eastAsia="宋体" w:cs="宋体"/>
                <w:sz w:val="24"/>
                <w:highlight w:val="none"/>
              </w:rPr>
              <w:t xml:space="preserve">Rest</w:t>
            </w:r>
            <w:r>
              <w:rPr>
                <w:rFonts w:hint="eastAsia" w:ascii="宋体" w:hAnsi="宋体" w:eastAsia="宋体" w:cs="宋体"/>
                <w:sz w:val="24"/>
                <w:highlight w:val="none"/>
              </w:rPr>
              <w:t xml:space="preserve">服务；</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⑥支持测绘行业标准</w:t>
            </w:r>
            <w:r>
              <w:rPr>
                <w:rFonts w:ascii="宋体" w:hAnsi="宋体" w:eastAsia="宋体" w:cs="宋体"/>
                <w:sz w:val="24"/>
                <w:highlight w:val="none"/>
              </w:rPr>
              <w:t xml:space="preserve">CH/T 9040-2023</w:t>
            </w:r>
            <w:r>
              <w:rPr>
                <w:rFonts w:hint="eastAsia" w:ascii="宋体" w:hAnsi="宋体" w:eastAsia="宋体" w:cs="宋体"/>
                <w:sz w:val="24"/>
                <w:highlight w:val="none"/>
              </w:rPr>
              <w:t xml:space="preserve">《空间三维模型瓦片数据格式》</w:t>
            </w:r>
            <w:r>
              <w:rPr>
                <w:rFonts w:ascii="宋体" w:hAnsi="宋体" w:eastAsia="宋体" w:cs="宋体"/>
                <w:sz w:val="24"/>
                <w:highlight w:val="none"/>
              </w:rPr>
              <w:t xml:space="preserve">(S3M)</w:t>
            </w:r>
            <w:r>
              <w:rPr>
                <w:rFonts w:hint="eastAsia" w:ascii="宋体" w:hAnsi="宋体" w:eastAsia="宋体" w:cs="宋体"/>
                <w:sz w:val="24"/>
                <w:highlight w:val="none"/>
              </w:rPr>
              <w:t xml:space="preserve">，支持倾斜摄影模型、</w:t>
            </w:r>
            <w:r>
              <w:rPr>
                <w:rFonts w:ascii="宋体" w:hAnsi="宋体" w:eastAsia="宋体" w:cs="宋体"/>
                <w:sz w:val="24"/>
                <w:highlight w:val="none"/>
              </w:rPr>
              <w:t xml:space="preserve">BIM</w:t>
            </w:r>
            <w:r>
              <w:rPr>
                <w:rFonts w:hint="eastAsia" w:ascii="宋体" w:hAnsi="宋体" w:eastAsia="宋体" w:cs="宋体"/>
                <w:sz w:val="24"/>
                <w:highlight w:val="none"/>
              </w:rPr>
              <w:t xml:space="preserve">、手工建模、三维场数据、激光点云数据等三维数据生成</w:t>
            </w:r>
            <w:r>
              <w:rPr>
                <w:rFonts w:ascii="宋体" w:hAnsi="宋体" w:eastAsia="宋体" w:cs="宋体"/>
                <w:sz w:val="24"/>
                <w:highlight w:val="none"/>
              </w:rPr>
              <w:t xml:space="preserve">S3M</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地图瓦片：</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①支持默认按基础比例尺对纯影像地图进行切图，提高瓦片生产速率；</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②支持生成自定义比例尺的矢量瓦片；</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③支持单任务和多任务两种方式生成栅格瓦片和矢量瓦片；</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数据处理：</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①支持多种预定义和自定义坐标系；支持投影转换，便于统一数据的坐标系；支持动态投影，即不改变原始数据投影情况下，动态显示在其他投影坐标系下；</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②提供全面的矢量数据处理功能，包括追加行</w:t>
            </w:r>
            <w:r>
              <w:rPr>
                <w:rFonts w:ascii="宋体" w:hAnsi="宋体" w:eastAsia="宋体" w:cs="宋体"/>
                <w:sz w:val="24"/>
                <w:highlight w:val="none"/>
              </w:rPr>
              <w:t xml:space="preserve">/</w:t>
            </w:r>
            <w:r>
              <w:rPr>
                <w:rFonts w:hint="eastAsia" w:ascii="宋体" w:hAnsi="宋体" w:eastAsia="宋体" w:cs="宋体"/>
                <w:sz w:val="24"/>
                <w:highlight w:val="none"/>
              </w:rPr>
              <w:t xml:space="preserve">列、重分级、属性更新、合并数据集，包括线面光滑、矢量重采样、融合、点抽稀、提取中心线等。支持统计面内对象数、按照过滤条件删除对象、获取数据集范围、生成邻近点功能；</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数据编辑：</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①支持对数据进行版本化管理，支持多人协同编辑同一份数据集，提供版本管理、注册版本、提交更新版本、处理编辑冲突功能。</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②提供历史时刻功能，可通过指定时刻或添加历史时刻来追溯数据信息。同时支持对象历史变更功能，可查看对象的空间、属性信息变更情况，并恢复到指定时刻的对象数据信息；</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③支持数据复本管理，便于数据管理员对数据进行分发与收集，便于外网工作者对数据编辑；</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三维编辑：</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①无需转换，可直接加载</w:t>
            </w:r>
            <w:r>
              <w:rPr>
                <w:rFonts w:ascii="宋体" w:hAnsi="宋体" w:eastAsia="宋体" w:cs="宋体"/>
                <w:sz w:val="24"/>
                <w:highlight w:val="none"/>
              </w:rPr>
              <w:t xml:space="preserve">osgb</w:t>
            </w:r>
            <w:r>
              <w:rPr>
                <w:rFonts w:hint="eastAsia" w:ascii="宋体" w:hAnsi="宋体" w:eastAsia="宋体" w:cs="宋体"/>
                <w:sz w:val="24"/>
                <w:highlight w:val="none"/>
              </w:rPr>
              <w:t xml:space="preserve">格式的倾斜摄影模型，支持本地坐标系、</w:t>
            </w:r>
            <w:r>
              <w:rPr>
                <w:rFonts w:ascii="宋体" w:hAnsi="宋体" w:eastAsia="宋体" w:cs="宋体"/>
                <w:sz w:val="24"/>
                <w:highlight w:val="none"/>
              </w:rPr>
              <w:t xml:space="preserve">ENU</w:t>
            </w:r>
            <w:r>
              <w:rPr>
                <w:rFonts w:hint="eastAsia" w:ascii="宋体" w:hAnsi="宋体" w:eastAsia="宋体" w:cs="宋体"/>
                <w:sz w:val="24"/>
                <w:highlight w:val="none"/>
              </w:rPr>
              <w:t xml:space="preserve">及投影坐标系；</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②支持通过</w:t>
            </w:r>
            <w:r>
              <w:rPr>
                <w:rFonts w:ascii="宋体" w:hAnsi="宋体" w:eastAsia="宋体" w:cs="宋体"/>
                <w:sz w:val="24"/>
                <w:highlight w:val="none"/>
              </w:rPr>
              <w:t xml:space="preserve">Mongodb</w:t>
            </w:r>
            <w:r>
              <w:rPr>
                <w:rFonts w:hint="eastAsia" w:ascii="宋体" w:hAnsi="宋体" w:eastAsia="宋体" w:cs="宋体"/>
                <w:sz w:val="24"/>
                <w:highlight w:val="none"/>
              </w:rPr>
              <w:t xml:space="preserve">存储和管理倾斜摄影数据；</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③支持把带有</w:t>
            </w:r>
            <w:r>
              <w:rPr>
                <w:rFonts w:ascii="宋体" w:hAnsi="宋体" w:eastAsia="宋体" w:cs="宋体"/>
                <w:sz w:val="24"/>
                <w:highlight w:val="none"/>
              </w:rPr>
              <w:t xml:space="preserve">PageLOD</w:t>
            </w:r>
            <w:r>
              <w:rPr>
                <w:rFonts w:hint="eastAsia" w:ascii="宋体" w:hAnsi="宋体" w:eastAsia="宋体" w:cs="宋体"/>
                <w:sz w:val="24"/>
                <w:highlight w:val="none"/>
              </w:rPr>
              <w:t xml:space="preserve">信息的</w:t>
            </w:r>
            <w:r>
              <w:rPr>
                <w:rFonts w:ascii="宋体" w:hAnsi="宋体" w:eastAsia="宋体" w:cs="宋体"/>
                <w:sz w:val="24"/>
                <w:highlight w:val="none"/>
              </w:rPr>
              <w:t xml:space="preserve">OBJ</w:t>
            </w:r>
            <w:r>
              <w:rPr>
                <w:rFonts w:hint="eastAsia" w:ascii="宋体" w:hAnsi="宋体" w:eastAsia="宋体" w:cs="宋体"/>
                <w:sz w:val="24"/>
                <w:highlight w:val="none"/>
              </w:rPr>
              <w:t xml:space="preserve">格式倾斜摄影模型数据转换为</w:t>
            </w:r>
            <w:r>
              <w:rPr>
                <w:rFonts w:ascii="宋体" w:hAnsi="宋体" w:eastAsia="宋体" w:cs="宋体"/>
                <w:sz w:val="24"/>
                <w:highlight w:val="none"/>
              </w:rPr>
              <w:t xml:space="preserve">OSGB</w:t>
            </w:r>
            <w:r>
              <w:rPr>
                <w:rFonts w:hint="eastAsia" w:ascii="宋体" w:hAnsi="宋体" w:eastAsia="宋体" w:cs="宋体"/>
                <w:sz w:val="24"/>
                <w:highlight w:val="none"/>
              </w:rPr>
              <w:t xml:space="preserve">格式；</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ascii="宋体" w:hAnsi="宋体" w:eastAsia="宋体" w:cs="宋体"/>
                <w:sz w:val="24"/>
                <w:highlight w:val="none"/>
              </w:rPr>
              <w:t xml:space="preserve">7.</w:t>
            </w:r>
            <w:r>
              <w:rPr>
                <w:rFonts w:hint="eastAsia" w:ascii="宋体" w:hAnsi="宋体" w:eastAsia="宋体" w:cs="宋体"/>
                <w:sz w:val="24"/>
                <w:highlight w:val="none"/>
              </w:rPr>
              <w:t xml:space="preserve">处理自动化：</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①支持处理自动化功能，基于工具箱中的工具构建数据处理与分析模型，可自动、连续执行处理自动化模型。支持导入和导出处理自动化模型文件，支持将模型保存为工具，将业务逻辑简化为工具；</w:t>
            </w:r>
            <w:r>
              <w:rPr>
                <w:rFonts w:ascii="宋体" w:hAnsi="宋体" w:eastAsia="宋体" w:cs="宋体"/>
                <w:sz w:val="24"/>
                <w:highlight w:val="none"/>
              </w:rPr>
            </w:r>
            <w:r/>
          </w:p>
          <w:p>
            <w:pPr>
              <w:pStyle w:val="737"/>
              <w:widowControl/>
              <w:rPr>
                <w:rFonts w:ascii="宋体" w:hAnsi="宋体" w:eastAsia="宋体" w:cs="宋体"/>
                <w:sz w:val="24"/>
                <w:highlight w:val="none"/>
              </w:rPr>
            </w:pPr>
            <w:r>
              <w:rPr>
                <w:rFonts w:hint="eastAsia" w:ascii="宋体" w:hAnsi="宋体" w:eastAsia="宋体" w:cs="宋体"/>
                <w:sz w:val="24"/>
                <w:highlight w:val="none"/>
              </w:rPr>
              <w:t xml:space="preserve">②支持迭代文件、迭代数据集、变量功能，便于数据的批处理；支持前提条件、行内变量替换功能；</w:t>
            </w:r>
            <w:r>
              <w:rPr>
                <w:rFonts w:ascii="宋体" w:hAnsi="宋体" w:eastAsia="宋体" w:cs="宋体"/>
                <w:sz w:val="24"/>
                <w:highlight w:val="none"/>
              </w:rPr>
            </w:r>
            <w:r/>
          </w:p>
          <w:p>
            <w:pPr>
              <w:pStyle w:val="737"/>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③支持新建、导入模型库文件，通过对模型库设置密码，以实现对模型的加密保护</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tc>
      </w:tr>
    </w:tbl>
    <w:p>
      <w:pPr>
        <w:pStyle w:val="737"/>
        <w:rPr>
          <w:rFonts w:hint="eastAsia" w:eastAsia="宋体"/>
          <w:highlight w:val="none"/>
        </w:rPr>
      </w:pPr>
      <w:r>
        <w:rPr>
          <w:rFonts w:hint="eastAsia" w:eastAsia="宋体"/>
          <w:highlight w:val="none"/>
        </w:rPr>
      </w:r>
      <w:r/>
    </w:p>
    <w:p>
      <w:pPr>
        <w:pStyle w:val="737"/>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五、服务期要求</w:t>
      </w:r>
      <w:r>
        <w:rPr>
          <w:rFonts w:hint="eastAsia" w:ascii="宋体" w:hAnsi="宋体" w:eastAsia="宋体" w:cs="宋体"/>
          <w:b/>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合同签订后12个月内完成所有项目内容。</w:t>
      </w:r>
      <w:r>
        <w:rPr>
          <w:rFonts w:hint="eastAsia" w:ascii="宋体" w:hAnsi="宋体" w:eastAsia="宋体" w:cs="宋体"/>
          <w:sz w:val="24"/>
          <w:highlight w:val="none"/>
        </w:rPr>
      </w:r>
      <w:r/>
    </w:p>
    <w:p>
      <w:pPr>
        <w:pStyle w:val="737"/>
        <w:rPr>
          <w:rFonts w:hint="eastAsia" w:ascii="宋体" w:hAnsi="宋体" w:eastAsia="宋体" w:cs="宋体"/>
          <w:b/>
          <w:sz w:val="24"/>
          <w:highlight w:val="none"/>
        </w:rPr>
        <w:outlineLvl w:val="0"/>
      </w:pPr>
      <w:r/>
      <w:bookmarkStart w:id="193" w:name="_Toc308915183"/>
      <w:r/>
      <w:bookmarkStart w:id="194" w:name="_Toc510945399"/>
      <w:r/>
      <w:bookmarkStart w:id="195" w:name="_Toc301517947"/>
      <w:r/>
      <w:bookmarkStart w:id="196" w:name="_Toc309213429"/>
      <w:r>
        <w:rPr>
          <w:rFonts w:hint="eastAsia" w:ascii="宋体" w:hAnsi="宋体" w:eastAsia="宋体" w:cs="宋体"/>
          <w:b/>
          <w:sz w:val="24"/>
          <w:highlight w:val="none"/>
        </w:rPr>
        <w:t xml:space="preserve">六、售后服务和培训要求</w:t>
      </w:r>
      <w:bookmarkEnd w:id="193"/>
      <w:r/>
      <w:bookmarkEnd w:id="194"/>
      <w:r/>
      <w:bookmarkEnd w:id="195"/>
      <w:r/>
      <w:bookmarkEnd w:id="196"/>
      <w:r>
        <w:rPr>
          <w:rFonts w:hint="eastAsia" w:ascii="宋体" w:hAnsi="宋体" w:eastAsia="宋体" w:cs="宋体"/>
          <w:b/>
          <w:sz w:val="24"/>
          <w:highlight w:val="none"/>
        </w:rPr>
      </w:r>
      <w:r/>
    </w:p>
    <w:p>
      <w:pPr>
        <w:pStyle w:val="737"/>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w:t>
      </w:r>
      <w:r>
        <w:rPr>
          <w:rFonts w:ascii="宋体" w:hAnsi="宋体" w:eastAsia="宋体" w:cs="宋体"/>
          <w:b/>
          <w:sz w:val="24"/>
          <w:highlight w:val="none"/>
        </w:rPr>
        <w:t xml:space="preserve">1</w:t>
      </w:r>
      <w:r>
        <w:rPr>
          <w:rFonts w:hint="eastAsia" w:ascii="宋体" w:hAnsi="宋体" w:eastAsia="宋体" w:cs="宋体"/>
          <w:b/>
          <w:sz w:val="24"/>
          <w:highlight w:val="none"/>
        </w:rPr>
        <w:t xml:space="preserve">）免费维护期</w:t>
      </w:r>
      <w:r>
        <w:rPr>
          <w:rFonts w:ascii="宋体" w:hAnsi="宋体" w:eastAsia="宋体" w:cs="宋体"/>
          <w:b/>
          <w:sz w:val="24"/>
          <w:highlight w:val="none"/>
        </w:rPr>
      </w:r>
      <w:r/>
    </w:p>
    <w:p>
      <w:pPr>
        <w:pStyle w:val="737"/>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项目验收合格后（自终验合格之日起计算），提供</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年的免费维护。</w:t>
      </w:r>
      <w:r>
        <w:rPr>
          <w:rFonts w:ascii="宋体" w:hAnsi="宋体" w:eastAsia="宋体" w:cs="宋体"/>
          <w:sz w:val="24"/>
          <w:highlight w:val="none"/>
        </w:rPr>
      </w:r>
      <w:r/>
    </w:p>
    <w:p>
      <w:pPr>
        <w:pStyle w:val="737"/>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w:t>
      </w:r>
      <w:r>
        <w:rPr>
          <w:rFonts w:ascii="宋体" w:hAnsi="宋体" w:eastAsia="宋体" w:cs="宋体"/>
          <w:b/>
          <w:sz w:val="24"/>
          <w:highlight w:val="none"/>
        </w:rPr>
        <w:t xml:space="preserve">2</w:t>
      </w:r>
      <w:r>
        <w:rPr>
          <w:rFonts w:hint="eastAsia" w:ascii="宋体" w:hAnsi="宋体" w:eastAsia="宋体" w:cs="宋体"/>
          <w:b/>
          <w:sz w:val="24"/>
          <w:highlight w:val="none"/>
        </w:rPr>
        <w:t xml:space="preserve">）系统完善和维护</w:t>
      </w:r>
      <w:r>
        <w:rPr>
          <w:rFonts w:ascii="宋体" w:hAnsi="宋体" w:eastAsia="宋体" w:cs="宋体"/>
          <w:b/>
          <w:sz w:val="24"/>
          <w:highlight w:val="none"/>
        </w:rPr>
      </w:r>
      <w:r/>
    </w:p>
    <w:p>
      <w:pPr>
        <w:pStyle w:val="737"/>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必须配置本地化的专职维护小组，提供系统功能的完善和维护服务。软件日常维护响应时间为</w:t>
      </w:r>
      <w:r>
        <w:rPr>
          <w:rFonts w:ascii="宋体" w:hAnsi="宋体" w:eastAsia="宋体" w:cs="宋体"/>
          <w:sz w:val="24"/>
          <w:highlight w:val="none"/>
        </w:rPr>
        <w:t xml:space="preserve">24</w:t>
      </w:r>
      <w:r>
        <w:rPr>
          <w:rFonts w:hint="eastAsia" w:ascii="宋体" w:hAnsi="宋体" w:eastAsia="宋体" w:cs="宋体"/>
          <w:sz w:val="24"/>
          <w:highlight w:val="none"/>
        </w:rPr>
        <w:t xml:space="preserve">小时以内，对系统运行期间出现的故障进行电话支持、远程通讯或现场支持等方式及时解决，并将故障原因及解决方案归纳整理提供给用户，为日后用户的系统维护提供依据。</w:t>
      </w:r>
      <w:r>
        <w:rPr>
          <w:rFonts w:ascii="宋体" w:hAnsi="宋体" w:eastAsia="宋体" w:cs="宋体"/>
          <w:sz w:val="24"/>
          <w:highlight w:val="none"/>
        </w:rPr>
      </w:r>
      <w:r/>
    </w:p>
    <w:p>
      <w:pPr>
        <w:pStyle w:val="737"/>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w:t>
      </w:r>
      <w:r>
        <w:rPr>
          <w:rFonts w:ascii="宋体" w:hAnsi="宋体" w:eastAsia="宋体" w:cs="宋体"/>
          <w:b/>
          <w:sz w:val="24"/>
          <w:highlight w:val="none"/>
        </w:rPr>
        <w:t xml:space="preserve">3</w:t>
      </w:r>
      <w:r>
        <w:rPr>
          <w:rFonts w:hint="eastAsia" w:ascii="宋体" w:hAnsi="宋体" w:eastAsia="宋体" w:cs="宋体"/>
          <w:b/>
          <w:sz w:val="24"/>
          <w:highlight w:val="none"/>
        </w:rPr>
        <w:t xml:space="preserve">）培训服务</w:t>
      </w:r>
      <w:r>
        <w:rPr>
          <w:rFonts w:ascii="宋体" w:hAnsi="宋体" w:eastAsia="宋体" w:cs="宋体"/>
          <w:b/>
          <w:sz w:val="24"/>
          <w:highlight w:val="none"/>
        </w:rPr>
      </w:r>
      <w:r/>
    </w:p>
    <w:p>
      <w:pPr>
        <w:pStyle w:val="737"/>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培训方案应包含对操作人员、维护人员、系统管理人员等各岗位人员的培训计划及培训要达到的目标进行详细阐述，并要承诺提供详细的产品操作手册。</w:t>
      </w:r>
      <w:r>
        <w:rPr>
          <w:rFonts w:ascii="宋体" w:hAnsi="宋体" w:eastAsia="宋体" w:cs="宋体"/>
          <w:sz w:val="24"/>
          <w:highlight w:val="none"/>
        </w:rPr>
      </w:r>
      <w:r/>
    </w:p>
    <w:p>
      <w:pPr>
        <w:pStyle w:val="737"/>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1）操作人员培训：提供针对领导及管理人员、系统使用人员、系统维护人员和其他人员的各功能模块的培训，使操作人员能够使用该系统完成日常工作。</w:t>
      </w:r>
      <w:r>
        <w:rPr>
          <w:rFonts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维护人员培训：培训维护人员，达到全面了解该应用软件系统的运行模式，并熟知应用系统业务及处理流程，能够给操作人员提供系统使用方面的帮助，能够完成应用系统的数据维护设置，能够判断系统运行过程中出现的一般故障并可排除，保证系统的正常运行。</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3）系统管理人员培训：培训系统管理人员，达到全面掌握应用系统软件的安装、设置和使用，能确定系统故障原因并排除，保证系统的正常运行。</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4）培训方式和产品操作手册：投标人应提供详细的培训计划、产品操作手册纸质文件和电子文件，方便用户学习和使用。</w:t>
      </w:r>
      <w:r>
        <w:rPr>
          <w:rFonts w:hint="eastAsia" w:ascii="宋体" w:hAnsi="宋体" w:eastAsia="宋体" w:cs="宋体"/>
          <w:sz w:val="24"/>
          <w:highlight w:val="none"/>
        </w:rPr>
      </w:r>
      <w:r/>
    </w:p>
    <w:p>
      <w:pPr>
        <w:pStyle w:val="737"/>
        <w:spacing w:line="540" w:lineRule="exact"/>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七、人员要求</w:t>
      </w:r>
      <w:r>
        <w:rPr>
          <w:rFonts w:hint="eastAsia" w:ascii="宋体" w:hAnsi="宋体" w:eastAsia="宋体" w:cs="宋体"/>
          <w:b/>
          <w:sz w:val="24"/>
          <w:highlight w:val="none"/>
        </w:rPr>
      </w:r>
      <w:r/>
    </w:p>
    <w:p>
      <w:pPr>
        <w:pStyle w:val="737"/>
        <w:ind w:firstLine="480"/>
        <w:jc w:val="left"/>
        <w:spacing w:line="5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为保证本项目从启动之日起至维护期满止期间的项目实施及系统正常有序运行，投标人须组织具有项目实施能力的项目团队，须提供项目负责人1名，负责整个项目的策划、实施和管理，协调各方面的工作，并对项目进度、成本、质量等方面进行控制和管理；项目经理1名，全面负责整个项目的执行、对现场项目进度、质量、安全等方面进行协调和管理；技术负责人1名，负责项目的技术开发和实现，协调各个开发者的工作，保证项目技术方案的实施；团队成员</w:t>
      </w:r>
      <w:r>
        <w:rPr>
          <w:rFonts w:hint="eastAsia" w:ascii="宋体" w:hAnsi="宋体" w:eastAsia="宋体" w:cs="宋体"/>
          <w:sz w:val="24"/>
          <w:highlight w:val="none"/>
          <w:lang w:eastAsia="zh-CN"/>
        </w:rPr>
        <w:t xml:space="preserve">（不含项目负责人、项目经理、技术负责人）不低于</w:t>
      </w:r>
      <w:r>
        <w:rPr>
          <w:rFonts w:hint="eastAsia" w:ascii="宋体" w:hAnsi="宋体" w:eastAsia="宋体" w:cs="宋体"/>
          <w:sz w:val="24"/>
          <w:highlight w:val="none"/>
          <w:lang w:val="en-US" w:eastAsia="zh-CN"/>
        </w:rPr>
        <w:t xml:space="preserve">20人</w:t>
      </w:r>
      <w:r>
        <w:rPr>
          <w:rFonts w:hint="eastAsia" w:ascii="宋体" w:hAnsi="宋体" w:eastAsia="宋体" w:cs="宋体"/>
          <w:sz w:val="24"/>
          <w:highlight w:val="none"/>
        </w:rPr>
        <w:t xml:space="preserve">，负责项目的具体工作，确保项目的顺利进行。</w:t>
      </w:r>
      <w:r>
        <w:rPr>
          <w:rFonts w:hint="eastAsia" w:ascii="宋体" w:hAnsi="宋体" w:eastAsia="宋体" w:cs="宋体"/>
          <w:sz w:val="24"/>
          <w:highlight w:val="none"/>
        </w:rPr>
      </w:r>
      <w:r/>
    </w:p>
    <w:p>
      <w:pPr>
        <w:pStyle w:val="737"/>
        <w:spacing w:line="540" w:lineRule="exact"/>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八、演示要求</w:t>
      </w:r>
      <w:r>
        <w:rPr>
          <w:rFonts w:hint="eastAsia" w:ascii="宋体" w:hAnsi="宋体" w:eastAsia="宋体" w:cs="宋体"/>
          <w:b/>
          <w:sz w:val="24"/>
          <w:highlight w:val="none"/>
        </w:rPr>
      </w:r>
      <w:r/>
    </w:p>
    <w:p>
      <w:pPr>
        <w:pStyle w:val="779"/>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上传视频演示</w:t>
      </w:r>
      <w:r>
        <w:rPr>
          <w:rFonts w:hint="eastAsia" w:ascii="宋体" w:hAnsi="宋体" w:eastAsia="宋体" w:cs="宋体"/>
          <w:color w:val="000000"/>
          <w:highlight w:val="none"/>
        </w:rPr>
      </w:r>
      <w:r/>
    </w:p>
    <w:p>
      <w:pPr>
        <w:pStyle w:val="779"/>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79"/>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演示内容如下：</w:t>
      </w:r>
      <w:r>
        <w:rPr>
          <w:rFonts w:hint="eastAsia" w:ascii="宋体" w:hAnsi="宋体" w:eastAsia="宋体" w:cs="宋体"/>
          <w:color w:val="000000"/>
          <w:highlight w:val="none"/>
        </w:rPr>
      </w:r>
      <w:r/>
    </w:p>
    <w:p>
      <w:pPr>
        <w:pStyle w:val="779"/>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①管线数据检查工具软件</w:t>
      </w:r>
      <w:r>
        <w:rPr>
          <w:rFonts w:hint="eastAsia" w:ascii="宋体" w:hAnsi="宋体" w:eastAsia="宋体" w:cs="宋体"/>
          <w:color w:val="000000"/>
          <w:highlight w:val="none"/>
        </w:rPr>
      </w:r>
      <w:r/>
    </w:p>
    <w:p>
      <w:pPr>
        <w:pStyle w:val="779"/>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②管线数据质检子系统</w:t>
      </w:r>
      <w:r>
        <w:rPr>
          <w:rFonts w:hint="eastAsia" w:ascii="宋体" w:hAnsi="宋体" w:eastAsia="宋体" w:cs="宋体"/>
          <w:color w:val="000000"/>
          <w:highlight w:val="none"/>
        </w:rPr>
      </w:r>
      <w:r/>
    </w:p>
    <w:p>
      <w:pPr>
        <w:pStyle w:val="779"/>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③管线数据管理子系统</w:t>
      </w:r>
      <w:r>
        <w:rPr>
          <w:rFonts w:hint="eastAsia" w:ascii="宋体" w:hAnsi="宋体" w:eastAsia="宋体" w:cs="宋体"/>
          <w:color w:val="000000"/>
          <w:highlight w:val="none"/>
        </w:rPr>
      </w:r>
      <w:r/>
    </w:p>
    <w:p>
      <w:pPr>
        <w:pStyle w:val="779"/>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④管线二三维应用子系统</w:t>
      </w:r>
      <w:r>
        <w:rPr>
          <w:rFonts w:hint="eastAsia" w:ascii="宋体" w:hAnsi="宋体" w:eastAsia="宋体" w:cs="宋体"/>
          <w:color w:val="000000"/>
          <w:highlight w:val="none"/>
        </w:rPr>
      </w:r>
      <w:r/>
    </w:p>
    <w:p>
      <w:pPr>
        <w:pStyle w:val="779"/>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⑤地下管线规划方案辅助审查子系统</w:t>
      </w:r>
      <w:r>
        <w:rPr>
          <w:rFonts w:hint="eastAsia" w:ascii="宋体" w:hAnsi="宋体" w:eastAsia="宋体" w:cs="宋体"/>
          <w:color w:val="000000"/>
          <w:highlight w:val="none"/>
        </w:rPr>
      </w:r>
      <w:r/>
    </w:p>
    <w:p>
      <w:pPr>
        <w:pStyle w:val="737"/>
        <w:spacing w:line="540" w:lineRule="exact"/>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九、其他要求</w:t>
      </w:r>
      <w:r>
        <w:rPr>
          <w:rFonts w:hint="eastAsia" w:ascii="宋体" w:hAnsi="宋体" w:eastAsia="宋体" w:cs="宋体"/>
          <w:b/>
          <w:sz w:val="24"/>
          <w:highlight w:val="none"/>
          <w:lang w:val="en-US" w:eastAsia="zh-CN"/>
        </w:rPr>
      </w:r>
      <w:r/>
    </w:p>
    <w:p>
      <w:pPr>
        <w:pStyle w:val="968"/>
        <w:rPr>
          <w:rFonts w:hint="eastAsia" w:cs="宋体"/>
          <w:color w:val="000000"/>
          <w:sz w:val="24"/>
          <w:highlight w:val="none"/>
        </w:rPr>
      </w:pPr>
      <w:r>
        <w:rPr>
          <w:rFonts w:hint="eastAsia" w:eastAsia="宋体" w:cs="宋体"/>
          <w:color w:val="000000"/>
          <w:sz w:val="24"/>
          <w:highlight w:val="none"/>
          <w:lang w:val="en-US" w:eastAsia="zh-CN"/>
        </w:rPr>
        <w:t xml:space="preserve">1</w:t>
      </w:r>
      <w:r>
        <w:rPr>
          <w:rFonts w:hint="eastAsia" w:cs="宋体"/>
          <w:color w:val="000000"/>
          <w:sz w:val="24"/>
          <w:highlight w:val="none"/>
        </w:rPr>
        <w:t xml:space="preserve">、为了择优选择中标单位，展现企业实力，鼓励供应商具有和本项目建设内容相关或相似的软件著作权登记证书</w:t>
      </w:r>
      <w:r>
        <w:rPr>
          <w:rFonts w:hint="eastAsia" w:eastAsia="宋体" w:cs="宋体"/>
          <w:color w:val="000000"/>
          <w:sz w:val="24"/>
          <w:highlight w:val="none"/>
          <w:lang w:eastAsia="zh-CN"/>
        </w:rPr>
        <w:t xml:space="preserve">、具有信息技术服务管理体系认证、数据治理安全管理体系认证、信息安全管理体系认证、隐私信息管理体系认证</w:t>
      </w:r>
      <w:r>
        <w:rPr>
          <w:rFonts w:hint="eastAsia" w:eastAsia="宋体" w:cs="宋体"/>
          <w:color w:val="000000"/>
          <w:sz w:val="24"/>
          <w:highlight w:val="none"/>
          <w:lang w:val="en-US" w:eastAsia="zh-CN"/>
        </w:rPr>
        <w:t xml:space="preserve">证书</w:t>
      </w:r>
      <w:r>
        <w:rPr>
          <w:rFonts w:hint="eastAsia" w:cs="宋体"/>
          <w:color w:val="000000"/>
          <w:sz w:val="24"/>
          <w:highlight w:val="none"/>
        </w:rPr>
        <w:t xml:space="preserve">的优先。</w:t>
      </w:r>
      <w:r>
        <w:rPr>
          <w:rFonts w:hint="eastAsia" w:cs="宋体"/>
          <w:color w:val="000000"/>
          <w:sz w:val="24"/>
          <w:highlight w:val="none"/>
        </w:rPr>
      </w:r>
      <w:r/>
    </w:p>
    <w:p>
      <w:pPr>
        <w:pStyle w:val="968"/>
        <w:rPr>
          <w:rFonts w:hint="eastAsia" w:cs="宋体"/>
          <w:color w:val="000000"/>
          <w:sz w:val="24"/>
          <w:highlight w:val="none"/>
        </w:rPr>
      </w:pPr>
      <w:r>
        <w:rPr>
          <w:rFonts w:hint="eastAsia" w:eastAsia="宋体" w:cs="宋体"/>
          <w:color w:val="000000"/>
          <w:sz w:val="24"/>
          <w:highlight w:val="none"/>
          <w:lang w:val="en-US" w:eastAsia="zh-CN"/>
        </w:rPr>
        <w:t xml:space="preserve">2</w:t>
      </w:r>
      <w:r>
        <w:rPr>
          <w:rFonts w:hint="eastAsia" w:cs="宋体"/>
          <w:color w:val="000000"/>
          <w:sz w:val="24"/>
          <w:highlight w:val="none"/>
        </w:rPr>
        <w:t xml:space="preserve">、供应商有丰富的</w:t>
      </w:r>
      <w:r>
        <w:rPr>
          <w:rFonts w:hint="eastAsia" w:eastAsia="宋体" w:cs="宋体"/>
          <w:color w:val="000000"/>
          <w:sz w:val="24"/>
          <w:highlight w:val="none"/>
          <w:lang w:val="en-US" w:eastAsia="zh-CN"/>
        </w:rPr>
        <w:t xml:space="preserve">类似项目</w:t>
      </w:r>
      <w:r>
        <w:rPr>
          <w:rFonts w:hint="eastAsia" w:cs="宋体"/>
          <w:color w:val="000000"/>
          <w:sz w:val="24"/>
          <w:highlight w:val="none"/>
        </w:rPr>
        <w:t xml:space="preserve">相关承接经验，为了确保项目的顺利实施，投标人自2022年1月1日以来起承担过以上类似案例业绩</w:t>
      </w:r>
      <w:r>
        <w:rPr>
          <w:rFonts w:hint="eastAsia" w:eastAsia="宋体" w:cs="宋体"/>
          <w:color w:val="000000"/>
          <w:sz w:val="24"/>
          <w:highlight w:val="none"/>
          <w:lang w:eastAsia="zh-CN"/>
        </w:rPr>
        <w:t xml:space="preserve">、</w:t>
      </w:r>
      <w:r>
        <w:rPr>
          <w:rFonts w:hint="eastAsia" w:eastAsia="宋体" w:cs="宋体"/>
          <w:color w:val="000000"/>
          <w:sz w:val="24"/>
          <w:highlight w:val="none"/>
          <w:lang w:val="en-US" w:eastAsia="zh-CN"/>
        </w:rPr>
        <w:t xml:space="preserve">承担的类似项目获得表彰、参与编制地下管线相关标准、规范</w:t>
      </w:r>
      <w:r>
        <w:rPr>
          <w:rFonts w:hint="eastAsia" w:cs="宋体"/>
          <w:color w:val="000000"/>
          <w:sz w:val="24"/>
          <w:highlight w:val="none"/>
        </w:rPr>
        <w:t xml:space="preserve">的优先。</w:t>
      </w:r>
      <w:r>
        <w:rPr>
          <w:rFonts w:hint="eastAsia" w:cs="宋体"/>
          <w:color w:val="000000"/>
          <w:sz w:val="24"/>
          <w:highlight w:val="none"/>
        </w:rPr>
      </w:r>
      <w:r/>
    </w:p>
    <w:p>
      <w:pPr>
        <w:pStyle w:val="968"/>
        <w:rPr>
          <w:rFonts w:hint="eastAsia" w:eastAsia="宋体" w:cs="宋体"/>
          <w:color w:val="000000"/>
          <w:sz w:val="24"/>
          <w:highlight w:val="none"/>
          <w:lang w:val="en-US" w:eastAsia="zh-CN"/>
        </w:rPr>
      </w:pPr>
      <w:r>
        <w:rPr>
          <w:rFonts w:hint="eastAsia" w:eastAsia="宋体" w:cs="宋体"/>
          <w:color w:val="000000"/>
          <w:sz w:val="24"/>
          <w:highlight w:val="none"/>
          <w:lang w:val="en-US" w:eastAsia="zh-CN"/>
        </w:rPr>
        <w:t xml:space="preserve">3、</w:t>
      </w:r>
      <w:r>
        <w:rPr>
          <w:rFonts w:ascii="宋体" w:hAnsi="宋体" w:cs="宋体"/>
          <w:sz w:val="24"/>
          <w:highlight w:val="none"/>
        </w:rPr>
        <w:t xml:space="preserve">为了</w:t>
      </w:r>
      <w:r>
        <w:rPr>
          <w:rFonts w:hint="eastAsia" w:ascii="宋体" w:hAnsi="宋体" w:cs="宋体"/>
          <w:sz w:val="24"/>
          <w:highlight w:val="none"/>
        </w:rPr>
        <w:t xml:space="preserve">盐城市区地下管线信息管理系统升级及数据治理采集项目</w:t>
      </w:r>
      <w:r>
        <w:rPr>
          <w:rFonts w:ascii="宋体" w:hAnsi="宋体" w:cs="宋体"/>
          <w:sz w:val="24"/>
          <w:highlight w:val="none"/>
        </w:rPr>
        <w:t xml:space="preserve">更好的实施，供应商能够提供</w:t>
      </w:r>
      <w:r>
        <w:rPr>
          <w:rFonts w:hint="eastAsia" w:ascii="宋体" w:hAnsi="宋体" w:cs="宋体"/>
          <w:sz w:val="24"/>
          <w:highlight w:val="none"/>
        </w:rPr>
        <w:t xml:space="preserve">的项目负责人具有</w:t>
      </w:r>
      <w:r>
        <w:rPr>
          <w:rFonts w:hint="eastAsia" w:eastAsia="宋体" w:cs="宋体"/>
          <w:sz w:val="24"/>
          <w:highlight w:val="none"/>
          <w:lang w:eastAsia="zh-CN"/>
        </w:rPr>
        <w:t xml:space="preserve">信息系统项目管理师证书、软件设计师证书</w:t>
      </w:r>
      <w:r>
        <w:rPr>
          <w:rFonts w:hint="eastAsia" w:ascii="宋体" w:hAnsi="宋体" w:cs="宋体"/>
          <w:sz w:val="24"/>
          <w:highlight w:val="none"/>
        </w:rPr>
        <w:t xml:space="preserve">的优先</w:t>
      </w:r>
      <w:r>
        <w:rPr>
          <w:rFonts w:hint="eastAsia" w:eastAsia="宋体" w:cs="宋体"/>
          <w:sz w:val="24"/>
          <w:highlight w:val="none"/>
          <w:lang w:eastAsia="zh-CN"/>
        </w:rPr>
        <w:t xml:space="preserve">；项目经理</w:t>
      </w:r>
      <w:r>
        <w:rPr>
          <w:rFonts w:hint="eastAsia" w:ascii="宋体" w:hAnsi="宋体" w:cs="宋体"/>
          <w:sz w:val="24"/>
          <w:highlight w:val="none"/>
        </w:rPr>
        <w:t xml:space="preserve">具有注册测绘师证书</w:t>
      </w:r>
      <w:r>
        <w:rPr>
          <w:rFonts w:hint="eastAsia" w:eastAsia="宋体" w:cs="宋体"/>
          <w:sz w:val="24"/>
          <w:highlight w:val="none"/>
          <w:lang w:eastAsia="zh-CN"/>
        </w:rPr>
        <w:t xml:space="preserve">、注册安全工程师证书</w:t>
      </w:r>
      <w:r>
        <w:rPr>
          <w:rFonts w:hint="eastAsia" w:ascii="宋体" w:hAnsi="宋体" w:cs="宋体"/>
          <w:sz w:val="24"/>
          <w:highlight w:val="none"/>
        </w:rPr>
        <w:t xml:space="preserve">的优先</w:t>
      </w:r>
      <w:r>
        <w:rPr>
          <w:rFonts w:hint="eastAsia" w:eastAsia="宋体" w:cs="宋体"/>
          <w:sz w:val="24"/>
          <w:highlight w:val="none"/>
          <w:lang w:eastAsia="zh-CN"/>
        </w:rPr>
        <w:t xml:space="preserve">；</w:t>
      </w:r>
      <w:r>
        <w:rPr>
          <w:rFonts w:hint="eastAsia" w:ascii="宋体" w:hAnsi="宋体" w:cs="宋体"/>
          <w:sz w:val="24"/>
          <w:highlight w:val="none"/>
        </w:rPr>
        <w:t xml:space="preserve">技术负责人</w:t>
      </w:r>
      <w:r>
        <w:rPr>
          <w:rFonts w:hint="eastAsia" w:ascii="宋体" w:hAnsi="宋体" w:cs="宋体"/>
          <w:sz w:val="24"/>
          <w:highlight w:val="none"/>
        </w:rPr>
        <w:t xml:space="preserve">具有注册信息安全专业人员(CISP)证书</w:t>
      </w:r>
      <w:r>
        <w:rPr>
          <w:rFonts w:hint="eastAsia" w:ascii="宋体" w:hAnsi="宋体" w:eastAsia="宋体" w:cs="宋体"/>
          <w:sz w:val="24"/>
          <w:highlight w:val="none"/>
          <w:lang w:eastAsia="zh-CN"/>
        </w:rPr>
        <w:t xml:space="preserve">、系统规划与管理师证书</w:t>
      </w:r>
      <w:r>
        <w:rPr>
          <w:rFonts w:hint="eastAsia" w:ascii="宋体" w:hAnsi="宋体" w:cs="宋体"/>
          <w:sz w:val="24"/>
          <w:highlight w:val="none"/>
        </w:rPr>
        <w:t xml:space="preserve">的优先</w:t>
      </w:r>
      <w:r>
        <w:rPr>
          <w:rFonts w:hint="eastAsia" w:eastAsia="宋体" w:cs="宋体"/>
          <w:sz w:val="24"/>
          <w:highlight w:val="none"/>
          <w:lang w:eastAsia="zh-CN"/>
        </w:rPr>
        <w:t xml:space="preserve">；</w:t>
      </w:r>
      <w:r>
        <w:rPr>
          <w:rFonts w:hint="eastAsia" w:ascii="宋体" w:hAnsi="宋体" w:cs="宋体"/>
          <w:sz w:val="24"/>
          <w:highlight w:val="none"/>
        </w:rPr>
        <w:t xml:space="preserve">项目组成员中（不含项目负责人、</w:t>
      </w:r>
      <w:r>
        <w:rPr>
          <w:rFonts w:hint="eastAsia" w:eastAsia="宋体" w:cs="宋体"/>
          <w:sz w:val="24"/>
          <w:highlight w:val="none"/>
          <w:lang w:val="en-US" w:eastAsia="zh-CN"/>
        </w:rPr>
        <w:t xml:space="preserve">项目经理、</w:t>
      </w:r>
      <w:r>
        <w:rPr>
          <w:rFonts w:hint="eastAsia" w:ascii="宋体" w:hAnsi="宋体" w:cs="宋体"/>
          <w:sz w:val="24"/>
          <w:highlight w:val="none"/>
        </w:rPr>
        <w:t xml:space="preserve">技术负责人）具有注册信息安全工程师、数据库系统工程师、系统架构设计师、测绘类高级工程师的优先。</w:t>
      </w:r>
      <w:r>
        <w:rPr>
          <w:rFonts w:hint="eastAsia" w:eastAsia="宋体" w:cs="宋体"/>
          <w:color w:val="000000"/>
          <w:sz w:val="24"/>
          <w:highlight w:val="none"/>
          <w:lang w:val="en-US" w:eastAsia="zh-CN"/>
        </w:rPr>
      </w:r>
      <w:r/>
    </w:p>
    <w:p>
      <w:pPr>
        <w:pStyle w:val="737"/>
        <w:spacing w:line="540" w:lineRule="exact"/>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十、项目实施方案</w:t>
      </w:r>
      <w:r>
        <w:rPr>
          <w:rFonts w:hint="eastAsia" w:ascii="宋体" w:hAnsi="宋体" w:eastAsia="宋体" w:cs="宋体"/>
          <w:b/>
          <w:sz w:val="24"/>
          <w:highlight w:val="none"/>
          <w:lang w:val="en-US" w:eastAsia="zh-CN"/>
        </w:rPr>
      </w:r>
      <w:r/>
    </w:p>
    <w:p>
      <w:pPr>
        <w:pStyle w:val="779"/>
        <w:numPr>
          <w:ilvl w:val="0"/>
          <w:numId w:val="0"/>
        </w:numPr>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1、项目理解及分析：</w:t>
      </w:r>
      <w:r>
        <w:rPr>
          <w:rFonts w:hint="eastAsia" w:ascii="宋体" w:hAnsi="宋体" w:eastAsia="宋体" w:cs="宋体"/>
          <w:color w:val="000000"/>
          <w:highlight w:val="none"/>
          <w:lang w:val="en-US" w:eastAsia="zh-CN"/>
        </w:rPr>
        <w:t xml:space="preserve">对</w:t>
      </w:r>
      <w:r>
        <w:rPr>
          <w:rFonts w:hint="eastAsia" w:ascii="宋体" w:hAnsi="宋体" w:eastAsia="宋体" w:cs="宋体"/>
          <w:sz w:val="24"/>
          <w:highlight w:val="none"/>
        </w:rPr>
        <w:t xml:space="preserve">盐城市地下管线信息化技术要求和运行管理制度制定</w:t>
      </w:r>
      <w:r>
        <w:rPr>
          <w:rFonts w:hint="eastAsia" w:ascii="宋体" w:hAnsi="宋体" w:eastAsia="宋体" w:cs="宋体"/>
          <w:sz w:val="24"/>
          <w:highlight w:val="none"/>
          <w:lang w:eastAsia="zh-CN"/>
        </w:rPr>
        <w:t xml:space="preserve">、盐城市地下管线数据治理、</w:t>
      </w:r>
      <w:r>
        <w:rPr>
          <w:rFonts w:hint="eastAsia" w:ascii="宋体" w:hAnsi="宋体" w:eastAsia="宋体" w:cs="宋体"/>
          <w:sz w:val="24"/>
          <w:highlight w:val="none"/>
        </w:rPr>
        <w:t xml:space="preserve">盐城市地下管线信息管理系统建设</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基础软硬件采购</w:t>
      </w:r>
      <w:r>
        <w:rPr>
          <w:rFonts w:hint="eastAsia" w:ascii="宋体" w:hAnsi="宋体" w:eastAsia="宋体" w:cs="宋体"/>
          <w:sz w:val="24"/>
          <w:highlight w:val="none"/>
          <w:lang w:val="en-US" w:eastAsia="zh-CN"/>
        </w:rPr>
        <w:t xml:space="preserve">等建设内容，提出完整、准确的项目理解及分析，至少</w:t>
      </w:r>
      <w:r>
        <w:rPr>
          <w:rFonts w:hint="eastAsia" w:ascii="宋体" w:hAnsi="宋体" w:eastAsia="宋体" w:cs="宋体"/>
          <w:color w:val="000000"/>
          <w:highlight w:val="none"/>
          <w:lang w:val="en-US" w:eastAsia="zh-CN"/>
        </w:rPr>
        <w:t xml:space="preserve">包含建设背景、现状分析、需求分析</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779"/>
        <w:numPr>
          <w:ilvl w:val="0"/>
          <w:numId w:val="0"/>
        </w:numPr>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1）建设背景</w:t>
      </w:r>
      <w:r>
        <w:rPr>
          <w:rFonts w:hint="eastAsia" w:ascii="宋体" w:hAnsi="宋体" w:eastAsia="宋体" w:cs="宋体"/>
          <w:b/>
          <w:bCs/>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宏观政策要求</w:t>
      </w:r>
      <w:r>
        <w:rPr>
          <w:rFonts w:hint="eastAsia" w:ascii="宋体" w:hAnsi="宋体" w:eastAsia="宋体" w:cs="宋体"/>
          <w:color w:val="000000"/>
          <w:highlight w:val="none"/>
          <w:lang w:val="en-US" w:eastAsia="zh-CN"/>
        </w:rPr>
      </w:r>
      <w:r/>
    </w:p>
    <w:p>
      <w:pPr>
        <w:pStyle w:val="737"/>
        <w:ind w:firstLine="482"/>
        <w:keepLines w:val="0"/>
        <w:keepNext w:val="0"/>
        <w:pageBreakBefore w:val="0"/>
        <w:spacing w:line="360" w:lineRule="auto"/>
        <w:widowControl w:val="off"/>
        <w:rPr>
          <w:rFonts w:ascii="宋体" w:hAnsi="宋体" w:eastAsia="Arial" w:cs="宋体"/>
          <w:sz w:val="24"/>
          <w:szCs w:val="24"/>
          <w:highlight w:val="none"/>
          <w:lang w:val="en-US" w:eastAsia="zh-CN" w:bidi="ar-SA"/>
        </w:rPr>
      </w:pPr>
      <w:r>
        <w:rPr>
          <w:rFonts w:ascii="宋体" w:hAnsi="宋体" w:eastAsia="Arial" w:cs="宋体"/>
          <w:sz w:val="24"/>
          <w:szCs w:val="24"/>
          <w:highlight w:val="none"/>
          <w:lang w:val="en-US" w:eastAsia="zh-CN" w:bidi="ar-SA"/>
        </w:rPr>
        <w:t xml:space="preserve">2014年《国务院办公厅关于加强城市地下管线建设管理的指导意见》（国办发〔2014〕27号）要求，综合管理信息系统和专业管线信息系统应按照统一的数据标准，实现信息的即时交换、共建共享、动态更新。推进综合管理信息系统与数字化城市管理系统、智慧城市融合。充分利用信息资源，做好工程规划、施工建设、运营维护、应急防灾、公共服务等工作，建设工程规划和施工许可管理必须以综合管理信息系统为依据。</w:t>
      </w:r>
      <w:r>
        <w:rPr>
          <w:rFonts w:ascii="宋体" w:hAnsi="宋体" w:eastAsia="Arial" w:cs="宋体"/>
          <w:sz w:val="24"/>
          <w:szCs w:val="24"/>
          <w:highlight w:val="none"/>
          <w:lang w:val="en-US" w:eastAsia="zh-CN" w:bidi="ar-SA"/>
        </w:rPr>
      </w:r>
      <w:r/>
    </w:p>
    <w:p>
      <w:pPr>
        <w:pStyle w:val="737"/>
        <w:ind w:firstLine="482"/>
        <w:keepLines w:val="0"/>
        <w:keepNext w:val="0"/>
        <w:pageBreakBefore w:val="0"/>
        <w:spacing w:line="360" w:lineRule="auto"/>
        <w:widowControl w:val="off"/>
        <w:rPr>
          <w:rFonts w:ascii="宋体" w:hAnsi="宋体" w:eastAsia="Arial" w:cs="宋体"/>
          <w:sz w:val="24"/>
          <w:szCs w:val="24"/>
          <w:highlight w:val="none"/>
          <w:lang w:val="en-US" w:eastAsia="zh-CN" w:bidi="ar-SA"/>
        </w:rPr>
      </w:pPr>
      <w:r>
        <w:rPr>
          <w:rFonts w:ascii="宋体" w:hAnsi="宋体" w:eastAsia="Arial" w:cs="宋体"/>
          <w:sz w:val="24"/>
          <w:szCs w:val="24"/>
          <w:highlight w:val="none"/>
          <w:lang w:val="en-US" w:eastAsia="zh-CN" w:bidi="ar-SA"/>
        </w:rPr>
        <w:t xml:space="preserve">2019年，住房和城乡建设部等四部委联合发布《关于进一步加强城市地下管线建设管理有关工作的通知》要求，鼓励应用物联网、云计算、5G网络、大数据等技术在地下管线工作中的运用，积极推进地下管线系统智能化改造，为工程规划、建设施工、运营维护、应急防灾、公共服务提供基础支撑，构建安全可靠、智能高效的地下管线管理平台。</w:t>
      </w:r>
      <w:r>
        <w:rPr>
          <w:rFonts w:ascii="宋体" w:hAnsi="宋体" w:eastAsia="Arial" w:cs="宋体"/>
          <w:sz w:val="24"/>
          <w:szCs w:val="24"/>
          <w:highlight w:val="none"/>
          <w:lang w:val="en-US" w:eastAsia="zh-CN" w:bidi="ar-SA"/>
        </w:rPr>
      </w:r>
      <w:r/>
    </w:p>
    <w:p>
      <w:pPr>
        <w:pStyle w:val="737"/>
        <w:ind w:firstLine="482"/>
        <w:keepLines w:val="0"/>
        <w:keepNext w:val="0"/>
        <w:pageBreakBefore w:val="0"/>
        <w:spacing w:line="360" w:lineRule="auto"/>
        <w:widowControl w:val="off"/>
        <w:rPr>
          <w:rFonts w:ascii="宋体" w:hAnsi="宋体" w:eastAsia="Arial" w:cs="宋体"/>
          <w:sz w:val="24"/>
          <w:szCs w:val="24"/>
          <w:highlight w:val="none"/>
          <w:lang w:val="en-US" w:eastAsia="zh-CN" w:bidi="ar-SA"/>
        </w:rPr>
      </w:pPr>
      <w:r>
        <w:rPr>
          <w:rFonts w:ascii="宋体" w:hAnsi="宋体" w:eastAsia="Arial" w:cs="宋体"/>
          <w:sz w:val="24"/>
          <w:szCs w:val="24"/>
          <w:highlight w:val="none"/>
          <w:lang w:val="en-US" w:eastAsia="zh-CN" w:bidi="ar-SA"/>
        </w:rPr>
        <w:t xml:space="preserve">2020</w:t>
      </w:r>
      <w:r>
        <w:rPr>
          <w:rFonts w:hint="eastAsia" w:ascii="宋体" w:hAnsi="宋体" w:eastAsia="Arial" w:cs="宋体"/>
          <w:sz w:val="24"/>
          <w:szCs w:val="24"/>
          <w:highlight w:val="none"/>
          <w:lang w:val="en-US" w:eastAsia="zh-CN" w:bidi="ar-SA"/>
        </w:rPr>
        <w:t xml:space="preserve">年</w:t>
      </w:r>
      <w:r>
        <w:rPr>
          <w:rFonts w:ascii="宋体" w:hAnsi="宋体" w:eastAsia="Arial" w:cs="宋体"/>
          <w:sz w:val="24"/>
          <w:szCs w:val="24"/>
          <w:highlight w:val="none"/>
          <w:lang w:val="en-US" w:eastAsia="zh-CN" w:bidi="ar-SA"/>
        </w:rPr>
        <w:t xml:space="preserve">8</w:t>
      </w:r>
      <w:r>
        <w:rPr>
          <w:rFonts w:hint="eastAsia" w:ascii="宋体" w:hAnsi="宋体" w:eastAsia="Arial" w:cs="宋体"/>
          <w:sz w:val="24"/>
          <w:szCs w:val="24"/>
          <w:highlight w:val="none"/>
          <w:lang w:val="en-US" w:eastAsia="zh-CN" w:bidi="ar-SA"/>
        </w:rPr>
        <w:t xml:space="preserve">月住房和城乡建设部联合</w:t>
      </w:r>
      <w:r>
        <w:rPr>
          <w:rFonts w:ascii="宋体" w:hAnsi="宋体" w:eastAsia="Arial" w:cs="宋体"/>
          <w:sz w:val="24"/>
          <w:szCs w:val="24"/>
          <w:highlight w:val="none"/>
          <w:lang w:val="en-US" w:eastAsia="zh-CN" w:bidi="ar-SA"/>
        </w:rPr>
        <w:t xml:space="preserve">6</w:t>
      </w:r>
      <w:r>
        <w:rPr>
          <w:rFonts w:hint="eastAsia" w:ascii="宋体" w:hAnsi="宋体" w:eastAsia="Arial" w:cs="宋体"/>
          <w:sz w:val="24"/>
          <w:szCs w:val="24"/>
          <w:highlight w:val="none"/>
          <w:lang w:val="en-US" w:eastAsia="zh-CN" w:bidi="ar-SA"/>
        </w:rPr>
        <w:t xml:space="preserve">部委印发《关于加快推进新型城市基础设施建设的指导意见》，指出：</w:t>
      </w:r>
      <w:r>
        <w:rPr>
          <w:rFonts w:ascii="宋体" w:hAnsi="宋体" w:eastAsia="Arial" w:cs="宋体"/>
          <w:sz w:val="24"/>
          <w:szCs w:val="24"/>
          <w:highlight w:val="none"/>
          <w:lang w:val="en-US" w:eastAsia="zh-CN" w:bidi="ar-SA"/>
        </w:rPr>
        <w:t xml:space="preserve">实施智能化市政基础设施建设和改造</w:t>
      </w:r>
      <w:r>
        <w:rPr>
          <w:rFonts w:hint="eastAsia" w:ascii="宋体" w:hAnsi="宋体" w:eastAsia="Arial" w:cs="宋体"/>
          <w:sz w:val="24"/>
          <w:szCs w:val="24"/>
          <w:highlight w:val="none"/>
          <w:lang w:val="en-US" w:eastAsia="zh-CN" w:bidi="ar-SA"/>
        </w:rPr>
        <w:t xml:space="preserve">，</w:t>
      </w:r>
      <w:r>
        <w:rPr>
          <w:rFonts w:ascii="宋体" w:hAnsi="宋体" w:eastAsia="Arial" w:cs="宋体"/>
          <w:sz w:val="24"/>
          <w:szCs w:val="24"/>
          <w:highlight w:val="none"/>
          <w:lang w:val="en-US" w:eastAsia="zh-CN" w:bidi="ar-SA"/>
        </w:rPr>
        <w:t xml:space="preserve">组织实施智能化市政基础设施建设和改造行动计划，对市政基础设施进行升级改造和智能化管理，进一步提高市政基础设施运行效率和安全性能。</w:t>
      </w:r>
      <w:r>
        <w:rPr>
          <w:rFonts w:ascii="宋体" w:hAnsi="宋体" w:eastAsia="Arial" w:cs="宋体"/>
          <w:sz w:val="24"/>
          <w:szCs w:val="24"/>
          <w:highlight w:val="none"/>
          <w:lang w:val="en-US" w:eastAsia="zh-CN" w:bidi="ar-SA"/>
        </w:rPr>
      </w:r>
      <w:r/>
    </w:p>
    <w:p>
      <w:pPr>
        <w:pStyle w:val="737"/>
        <w:ind w:firstLine="482"/>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Arial" w:cs="宋体"/>
          <w:sz w:val="24"/>
          <w:szCs w:val="24"/>
          <w:highlight w:val="none"/>
          <w:lang w:val="en-US" w:eastAsia="zh-CN" w:bidi="ar-SA"/>
        </w:rPr>
        <w:t xml:space="preserve">202</w:t>
      </w:r>
      <w:r>
        <w:rPr>
          <w:rFonts w:ascii="宋体" w:hAnsi="宋体" w:eastAsia="Arial" w:cs="宋体"/>
          <w:sz w:val="24"/>
          <w:szCs w:val="24"/>
          <w:highlight w:val="none"/>
          <w:lang w:val="en-US" w:eastAsia="zh-CN" w:bidi="ar-SA"/>
        </w:rPr>
        <w:t xml:space="preserve">0</w:t>
      </w:r>
      <w:r>
        <w:rPr>
          <w:rFonts w:hint="eastAsia" w:ascii="宋体" w:hAnsi="宋体" w:eastAsia="Arial" w:cs="宋体"/>
          <w:sz w:val="24"/>
          <w:szCs w:val="24"/>
          <w:highlight w:val="none"/>
          <w:lang w:val="en-US" w:eastAsia="zh-CN" w:bidi="ar-SA"/>
        </w:rPr>
        <w:t xml:space="preserve">年</w:t>
      </w:r>
      <w:r>
        <w:rPr>
          <w:rFonts w:ascii="宋体" w:hAnsi="宋体" w:eastAsia="Arial" w:cs="宋体"/>
          <w:sz w:val="24"/>
          <w:szCs w:val="24"/>
          <w:highlight w:val="none"/>
          <w:lang w:val="en-US" w:eastAsia="zh-CN" w:bidi="ar-SA"/>
        </w:rPr>
        <w:t xml:space="preserve">12</w:t>
      </w:r>
      <w:r>
        <w:rPr>
          <w:rFonts w:hint="eastAsia" w:ascii="宋体" w:hAnsi="宋体" w:eastAsia="Arial" w:cs="宋体"/>
          <w:sz w:val="24"/>
          <w:szCs w:val="24"/>
          <w:highlight w:val="none"/>
          <w:lang w:val="en-US" w:eastAsia="zh-CN" w:bidi="ar-SA"/>
        </w:rPr>
        <w:t xml:space="preserve">月住房和城乡建设部印发《关于加强城市地下市政基础设施建设的指导意见》(建城〔2020〕111号)，明确到</w:t>
      </w:r>
      <w:r>
        <w:rPr>
          <w:rFonts w:ascii="宋体" w:hAnsi="宋体" w:eastAsia="Arial" w:cs="宋体"/>
          <w:sz w:val="24"/>
          <w:szCs w:val="24"/>
          <w:highlight w:val="none"/>
          <w:lang w:val="en-US" w:eastAsia="zh-CN" w:bidi="ar-SA"/>
        </w:rPr>
        <w:t xml:space="preserve">2023年底前，基本完成设施普查，地级及以上城市建立和完善综合管理信息平台；到2025年底前，基本实现综合管理信息平台全覆盖。</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行业管理现状</w:t>
      </w:r>
      <w:r>
        <w:rPr>
          <w:rFonts w:hint="eastAsia" w:ascii="宋体" w:hAnsi="宋体" w:eastAsia="宋体" w:cs="宋体"/>
          <w:color w:val="000000"/>
          <w:highlight w:val="none"/>
          <w:lang w:val="en-US" w:eastAsia="zh-CN"/>
        </w:rPr>
      </w:r>
      <w:r/>
    </w:p>
    <w:p>
      <w:pPr>
        <w:pStyle w:val="737"/>
        <w:ind w:firstLine="482"/>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Arial" w:cs="Times New Roman"/>
          <w:sz w:val="24"/>
          <w:szCs w:val="21"/>
          <w:lang w:val="en-US" w:eastAsia="zh-CN" w:bidi="ar-SA"/>
        </w:rPr>
        <w:t xml:space="preserve">根据市编办《关于同意调整盐城市基础地理信息管理中心机构编制事项的批复》（盐编复〔2021〕9号）文件，地下管网数据检验、收集、整理、存储、更新和利用等地下管线管理职能已经从市住建局移交到了市资规局。</w:t>
      </w:r>
      <w:r>
        <w:rPr>
          <w:rFonts w:ascii="宋体" w:hAnsi="宋体" w:eastAsia="宋体" w:cs="宋体"/>
          <w:color w:val="000000"/>
          <w:highlight w:val="none"/>
          <w:lang w:val="en-US" w:eastAsia="zh-CN"/>
        </w:rPr>
      </w:r>
      <w:r/>
    </w:p>
    <w:p>
      <w:pPr>
        <w:pStyle w:val="779"/>
        <w:numPr>
          <w:ilvl w:val="0"/>
          <w:numId w:val="0"/>
        </w:numPr>
        <w:ind w:firstLine="482"/>
        <w:jc w:val="both"/>
        <w:spacing w:beforeAutospacing="0" w:afterAutospacing="0" w:line="54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（2）现状分析</w:t>
      </w:r>
      <w:r>
        <w:rPr>
          <w:rFonts w:hint="eastAsia" w:ascii="宋体" w:hAnsi="宋体" w:eastAsia="宋体" w:cs="宋体"/>
          <w:b/>
          <w:bCs/>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包含数据与信息化现状</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Times New Roman" w:hAnsi="Times New Roman"/>
          <w:szCs w:val="20"/>
        </w:rPr>
      </w:pPr>
      <w:r>
        <w:rPr>
          <w:rFonts w:hint="eastAsia" w:ascii="Times New Roman" w:hAnsi="Times New Roman"/>
          <w:szCs w:val="20"/>
        </w:rPr>
        <w:t xml:space="preserve">为保障地下</w:t>
      </w:r>
      <w:r>
        <w:rPr>
          <w:rFonts w:hint="eastAsia" w:ascii="宋体" w:hAnsi="宋体"/>
          <w:szCs w:val="21"/>
        </w:rPr>
        <w:t xml:space="preserve">管线</w:t>
      </w:r>
      <w:r>
        <w:rPr>
          <w:rFonts w:hint="eastAsia" w:ascii="Times New Roman" w:hAnsi="Times New Roman"/>
          <w:szCs w:val="20"/>
        </w:rPr>
        <w:t xml:space="preserve">正常运行和城市公共安全，</w:t>
      </w:r>
      <w:r>
        <w:rPr>
          <w:rFonts w:ascii="Times New Roman" w:hAnsi="Times New Roman"/>
          <w:szCs w:val="20"/>
        </w:rPr>
        <w:t xml:space="preserve">进一步提升</w:t>
      </w:r>
      <w:r>
        <w:rPr>
          <w:rFonts w:hint="eastAsia" w:ascii="Times New Roman" w:hAnsi="Times New Roman"/>
          <w:szCs w:val="20"/>
        </w:rPr>
        <w:t xml:space="preserve">盐城</w:t>
      </w:r>
      <w:r>
        <w:rPr>
          <w:rFonts w:ascii="Times New Roman" w:hAnsi="Times New Roman"/>
          <w:szCs w:val="20"/>
        </w:rPr>
        <w:t xml:space="preserve">市</w:t>
      </w:r>
      <w:r>
        <w:rPr>
          <w:rFonts w:hint="eastAsia" w:ascii="Times New Roman" w:hAnsi="Times New Roman"/>
          <w:szCs w:val="20"/>
        </w:rPr>
        <w:t xml:space="preserve">地下管线</w:t>
      </w:r>
      <w:r>
        <w:rPr>
          <w:rFonts w:ascii="Times New Roman" w:hAnsi="Times New Roman"/>
          <w:szCs w:val="20"/>
        </w:rPr>
        <w:t xml:space="preserve">养护管理水平，</w:t>
      </w:r>
      <w:r>
        <w:rPr>
          <w:rFonts w:hint="eastAsia" w:ascii="宋体" w:hAnsi="宋体"/>
        </w:rPr>
        <w:t xml:space="preserve">市资规局</w:t>
      </w:r>
      <w:r>
        <w:rPr>
          <w:rFonts w:ascii="Times New Roman" w:hAnsi="Times New Roman"/>
          <w:szCs w:val="20"/>
        </w:rPr>
        <w:t xml:space="preserve">结合</w:t>
      </w:r>
      <w:r>
        <w:rPr>
          <w:rFonts w:hint="eastAsia" w:ascii="Times New Roman" w:hAnsi="Times New Roman"/>
          <w:szCs w:val="20"/>
        </w:rPr>
        <w:t xml:space="preserve">盐城市</w:t>
      </w:r>
      <w:r>
        <w:rPr>
          <w:rFonts w:ascii="Times New Roman" w:hAnsi="Times New Roman"/>
          <w:szCs w:val="20"/>
        </w:rPr>
        <w:t xml:space="preserve">地下管线实际建设情况，</w:t>
      </w:r>
      <w:r>
        <w:rPr>
          <w:rFonts w:hint="eastAsia" w:ascii="宋体" w:hAnsi="宋体"/>
        </w:rPr>
        <w:t xml:space="preserve">立足城市安全工作和地下管线信息系统建设工作，依据地下管线管理职责，依托现有信息化资源，针对信息系统国产化、市县一体化、地下管线立体化审批以及日常系统运行工作中总结的问题和不足，提出了</w:t>
      </w:r>
      <w:r>
        <w:rPr>
          <w:rFonts w:ascii="Times New Roman" w:hAnsi="Times New Roman"/>
          <w:szCs w:val="20"/>
        </w:rPr>
        <w:t xml:space="preserve">开展</w:t>
      </w:r>
      <w:r>
        <w:rPr>
          <w:rFonts w:hint="eastAsia" w:ascii="Times New Roman" w:hAnsi="Times New Roman"/>
          <w:szCs w:val="20"/>
        </w:rPr>
        <w:t xml:space="preserve">盐城市区地下管线信息管理系统升级及数据治理采集项目。</w:t>
      </w:r>
      <w:r>
        <w:rPr>
          <w:rFonts w:hint="eastAsia" w:ascii="Times New Roman" w:hAnsi="Times New Roman"/>
          <w:szCs w:val="20"/>
        </w:rPr>
      </w:r>
      <w:r/>
    </w:p>
    <w:p>
      <w:pPr>
        <w:pStyle w:val="969"/>
        <w:jc w:val="both"/>
        <w:keepLines w:val="0"/>
        <w:keepNext w:val="0"/>
        <w:pageBreakBefore w:val="0"/>
        <w:spacing w:line="360" w:lineRule="auto"/>
        <w:rPr>
          <w:rFonts w:hint="eastAsia" w:ascii="Times New Roman" w:hAnsi="Times New Roman" w:eastAsia="Arial" w:cs="Times New Roman"/>
          <w:sz w:val="24"/>
          <w:szCs w:val="20"/>
          <w:lang w:val="en-US" w:eastAsia="zh-CN" w:bidi="ar-SA"/>
        </w:rPr>
      </w:pPr>
      <w:r>
        <w:rPr>
          <w:rFonts w:hint="eastAsia" w:ascii="Times New Roman" w:hAnsi="Times New Roman" w:eastAsia="Arial" w:cs="Times New Roman"/>
          <w:sz w:val="24"/>
          <w:szCs w:val="20"/>
          <w:lang w:val="en-US" w:eastAsia="zh-CN" w:bidi="ar-SA"/>
        </w:rPr>
        <w:t xml:space="preserve">2019年建设“盐城市区地下管线信息管理系统”包含给水、燃气、排水、通信等多个类别地下管线，总计长度约17,200公里，经过分析发现现有管线数据存在图幅号等必填属性为空、管点编号规则不统一、地下管线高程逻辑性错误等诸多问题，地下管线数据的质量直接关系到地下管线信息管理系统的应用效果，有必要结合基础测绘进行全面治理。</w:t>
      </w:r>
      <w:r>
        <w:rPr>
          <w:rFonts w:hint="eastAsia" w:ascii="Times New Roman" w:hAnsi="Times New Roman" w:eastAsia="Arial" w:cs="Times New Roman"/>
          <w:sz w:val="24"/>
          <w:szCs w:val="20"/>
          <w:lang w:val="en-US" w:eastAsia="zh-CN" w:bidi="ar-SA"/>
        </w:rPr>
      </w:r>
      <w:r/>
    </w:p>
    <w:p>
      <w:pPr>
        <w:pStyle w:val="737"/>
        <w:ind w:firstLine="480"/>
        <w:keepLines w:val="0"/>
        <w:keepNext w:val="0"/>
        <w:pageBreakBefore w:val="0"/>
        <w:spacing w:line="360" w:lineRule="auto"/>
        <w:rPr>
          <w:rFonts w:hint="eastAsia" w:ascii="Times New Roman" w:hAnsi="Times New Roman" w:eastAsia="Arial" w:cs="Times New Roman"/>
          <w:sz w:val="24"/>
          <w:szCs w:val="20"/>
          <w:lang w:val="en-US" w:eastAsia="zh-CN" w:bidi="ar-SA"/>
        </w:rPr>
      </w:pPr>
      <w:r>
        <w:rPr>
          <w:rFonts w:hint="eastAsia" w:ascii="Times New Roman" w:hAnsi="Times New Roman" w:eastAsia="Arial" w:cs="Times New Roman"/>
          <w:sz w:val="24"/>
          <w:szCs w:val="20"/>
          <w:lang w:val="en-US" w:eastAsia="zh-CN" w:bidi="ar-SA"/>
        </w:rPr>
        <w:t xml:space="preserve">盐城市住建局城建档案馆于2020年2月通过公开招标方式投资230万元开发建设了盐城市区</w:t>
      </w:r>
      <w:bookmarkStart w:id="197" w:name="_Hlk153548558"/>
      <w:r>
        <w:rPr>
          <w:rFonts w:hint="eastAsia" w:ascii="Times New Roman" w:hAnsi="Times New Roman" w:eastAsia="Arial" w:cs="Times New Roman"/>
          <w:sz w:val="24"/>
          <w:szCs w:val="20"/>
          <w:lang w:val="en-US" w:eastAsia="zh-CN" w:bidi="ar-SA"/>
        </w:rPr>
        <w:t xml:space="preserve">地下管线管理信息系统</w:t>
      </w:r>
      <w:bookmarkEnd w:id="197"/>
      <w:r>
        <w:rPr>
          <w:rFonts w:hint="eastAsia" w:ascii="Times New Roman" w:hAnsi="Times New Roman" w:eastAsia="Arial" w:cs="Times New Roman"/>
          <w:sz w:val="24"/>
          <w:szCs w:val="20"/>
          <w:lang w:val="en-US" w:eastAsia="zh-CN" w:bidi="ar-SA"/>
        </w:rPr>
        <w:t xml:space="preserve">，系统采用CS/BS/MS混合架构、ArcGIS开发，ArcSDE为空间数据引擎，Oracle为基础数据库。系统内数据包括综合管线数据、地形图、电子地图等，数据覆盖范围主城4区（盐都、经济开发区、盐南高新区、亭湖）。由于机构改革相关职能调整，盐城市管线数据更新维护以及对外供图业务工作由市住建局城建档案馆移交到了盐城市自然资源和规划局，具体由资规局下属事业单位盐城市基础地理信息管理中心负责，系统采用单机部署模式，部署在一台台式电脑上，物理隔离。目前原有的管线系统已在市资规局部署并投入日常使用。</w:t>
      </w:r>
      <w:r>
        <w:rPr>
          <w:rFonts w:hint="eastAsia" w:ascii="Times New Roman" w:hAnsi="Times New Roman" w:eastAsia="Arial" w:cs="Times New Roman"/>
          <w:sz w:val="24"/>
          <w:szCs w:val="20"/>
          <w:lang w:val="en-US" w:eastAsia="zh-CN" w:bidi="ar-SA"/>
        </w:rPr>
      </w:r>
      <w:r/>
    </w:p>
    <w:p>
      <w:pPr>
        <w:pStyle w:val="779"/>
        <w:numPr>
          <w:ilvl w:val="0"/>
          <w:numId w:val="0"/>
        </w:numPr>
        <w:ind w:firstLine="480"/>
        <w:jc w:val="both"/>
        <w:keepLines w:val="0"/>
        <w:keepNext w:val="0"/>
        <w:pageBreakBefore w:val="0"/>
        <w:spacing w:beforeAutospacing="0" w:afterAutospacing="0" w:line="360" w:lineRule="auto"/>
        <w:rPr>
          <w:rFonts w:hint="eastAsia" w:ascii="Times New Roman" w:hAnsi="Times New Roman" w:eastAsia="Arial" w:cs="Times New Roman"/>
          <w:sz w:val="24"/>
          <w:szCs w:val="20"/>
          <w:lang w:val="en-US" w:eastAsia="zh-CN" w:bidi="ar-SA"/>
        </w:rPr>
      </w:pPr>
      <w:r>
        <w:rPr>
          <w:rFonts w:hint="eastAsia" w:ascii="Times New Roman" w:hAnsi="Times New Roman" w:eastAsia="Arial" w:cs="Times New Roman"/>
          <w:sz w:val="24"/>
          <w:szCs w:val="20"/>
          <w:lang w:val="en-US" w:eastAsia="zh-CN" w:bidi="ar-SA"/>
        </w:rPr>
        <w:t xml:space="preserve">存在问题与差距</w:t>
      </w:r>
      <w:r>
        <w:rPr>
          <w:rFonts w:hint="eastAsia" w:ascii="Times New Roman" w:hAnsi="Times New Roman" w:eastAsia="Arial" w:cs="Times New Roman"/>
          <w:sz w:val="24"/>
          <w:szCs w:val="20"/>
          <w:lang w:val="en-US" w:eastAsia="zh-CN" w:bidi="ar-SA"/>
        </w:rPr>
      </w:r>
      <w:r/>
    </w:p>
    <w:p>
      <w:pPr>
        <w:pStyle w:val="737"/>
        <w:ind w:firstLine="480"/>
        <w:keepLines w:val="0"/>
        <w:keepNext w:val="0"/>
        <w:pageBreakBefore w:val="0"/>
        <w:spacing w:line="360" w:lineRule="auto"/>
        <w:rPr>
          <w:rFonts w:hint="eastAsia" w:ascii="Times New Roman" w:hAnsi="Times New Roman" w:eastAsia="Arial" w:cs="Times New Roman"/>
          <w:sz w:val="24"/>
          <w:szCs w:val="20"/>
          <w:lang w:val="en-US" w:eastAsia="zh-CN" w:bidi="ar-SA"/>
        </w:rPr>
      </w:pPr>
      <w:r>
        <w:rPr>
          <w:rFonts w:hint="eastAsia" w:ascii="Times New Roman" w:hAnsi="Times New Roman" w:eastAsia="Arial" w:cs="Times New Roman"/>
          <w:sz w:val="24"/>
          <w:szCs w:val="20"/>
          <w:lang w:val="en-US" w:eastAsia="zh-CN" w:bidi="ar-SA"/>
        </w:rPr>
        <w:t xml:space="preserve">原有的地下管线信息管理系统难以满足现有业务和管理的实际需要。现有的系统虽然能够基本满足数据输出和更新的需求，但是有些统计功能还不能满足实际需求，此外系统运行速度随着数据量的增加变得较慢，有时候甚至会出现崩溃情况，影响了日常业务处理。</w:t>
      </w:r>
      <w:r>
        <w:rPr>
          <w:rFonts w:hint="eastAsia" w:ascii="Times New Roman" w:hAnsi="Times New Roman" w:eastAsia="Arial" w:cs="Times New Roman"/>
          <w:sz w:val="24"/>
          <w:szCs w:val="20"/>
          <w:lang w:val="en-US" w:eastAsia="zh-CN" w:bidi="ar-SA"/>
        </w:rPr>
      </w:r>
      <w:r/>
    </w:p>
    <w:p>
      <w:pPr>
        <w:pStyle w:val="737"/>
        <w:ind w:firstLine="480"/>
        <w:keepLines w:val="0"/>
        <w:keepNext w:val="0"/>
        <w:pageBreakBefore w:val="0"/>
        <w:spacing w:line="360" w:lineRule="auto"/>
        <w:widowControl w:val="off"/>
        <w:rPr>
          <w:rFonts w:hint="eastAsia" w:ascii="Times New Roman" w:hAnsi="Times New Roman" w:eastAsia="Arial" w:cs="Times New Roman"/>
          <w:sz w:val="24"/>
          <w:szCs w:val="20"/>
          <w:lang w:val="en-US" w:eastAsia="zh-CN" w:bidi="ar-SA"/>
        </w:rPr>
      </w:pPr>
      <w:r>
        <w:rPr>
          <w:rFonts w:hint="eastAsia" w:ascii="Times New Roman" w:hAnsi="Times New Roman" w:eastAsia="Arial" w:cs="Times New Roman"/>
          <w:sz w:val="24"/>
          <w:szCs w:val="20"/>
          <w:lang w:val="en-US" w:eastAsia="zh-CN" w:bidi="ar-SA"/>
        </w:rPr>
        <w:t xml:space="preserve">另一方面，由于原有系统没有考虑为其他部门提供数据共享服务的需求，也没有考虑到与县（市）及相关权属单位的数据交换以及新的业务需求，因此需要进行总体架构、数据结构以及部分功能的升级。</w:t>
      </w:r>
      <w:r>
        <w:rPr>
          <w:rFonts w:hint="eastAsia" w:ascii="Times New Roman" w:hAnsi="Times New Roman" w:eastAsia="Arial" w:cs="Times New Roman"/>
          <w:sz w:val="24"/>
          <w:szCs w:val="20"/>
          <w:lang w:val="en-US" w:eastAsia="zh-CN" w:bidi="ar-SA"/>
        </w:rPr>
      </w:r>
      <w:r/>
    </w:p>
    <w:p>
      <w:pPr>
        <w:pStyle w:val="737"/>
        <w:ind w:firstLine="480"/>
        <w:keepLines w:val="0"/>
        <w:keepNext w:val="0"/>
        <w:pageBreakBefore w:val="0"/>
        <w:spacing w:line="360" w:lineRule="auto"/>
        <w:widowControl w:val="off"/>
        <w:rPr>
          <w:rFonts w:hint="eastAsia" w:ascii="Times New Roman" w:hAnsi="Times New Roman" w:eastAsia="Arial" w:cs="Times New Roman"/>
          <w:sz w:val="24"/>
          <w:szCs w:val="20"/>
          <w:lang w:val="en-US" w:eastAsia="zh-CN" w:bidi="ar-SA"/>
        </w:rPr>
      </w:pPr>
      <w:r>
        <w:rPr>
          <w:rFonts w:hint="eastAsia" w:ascii="Times New Roman" w:hAnsi="Times New Roman" w:eastAsia="Arial" w:cs="Times New Roman"/>
          <w:sz w:val="24"/>
          <w:szCs w:val="20"/>
          <w:lang w:val="en-US" w:eastAsia="zh-CN" w:bidi="ar-SA"/>
        </w:rPr>
        <w:t xml:space="preserve">原有系统主要存在如下问题和差距：</w:t>
      </w:r>
      <w:r>
        <w:rPr>
          <w:rFonts w:hint="eastAsia" w:ascii="Times New Roman" w:hAnsi="Times New Roman" w:eastAsia="Arial" w:cs="Times New Roman"/>
          <w:sz w:val="24"/>
          <w:szCs w:val="20"/>
          <w:lang w:val="en-US" w:eastAsia="zh-CN" w:bidi="ar-SA"/>
        </w:rPr>
      </w:r>
      <w:r/>
    </w:p>
    <w:p>
      <w:pPr>
        <w:pStyle w:val="779"/>
        <w:numPr>
          <w:ilvl w:val="0"/>
          <w:numId w:val="5"/>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系统不满足国产化要求</w:t>
      </w:r>
      <w:r>
        <w:rPr>
          <w:rFonts w:hint="eastAsia" w:ascii="宋体" w:hAnsi="宋体" w:eastAsia="宋体" w:cs="宋体"/>
          <w:color w:val="000000"/>
          <w:highlight w:val="none"/>
          <w:lang w:val="en-US" w:eastAsia="zh-CN"/>
        </w:rPr>
      </w:r>
      <w:r/>
    </w:p>
    <w:p>
      <w:pPr>
        <w:pStyle w:val="779"/>
        <w:numPr>
          <w:ilvl w:val="0"/>
          <w:numId w:val="5"/>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系统</w:t>
      </w:r>
      <w:bookmarkStart w:id="198" w:name="OLE_LINK2"/>
      <w:r>
        <w:rPr>
          <w:rFonts w:hint="eastAsia" w:ascii="宋体" w:hAnsi="宋体" w:eastAsia="宋体" w:cs="宋体"/>
          <w:color w:val="000000"/>
          <w:highlight w:val="none"/>
          <w:lang w:val="en-US" w:eastAsia="zh-CN"/>
        </w:rPr>
        <w:t xml:space="preserve">未实现市区/县市管理一体化</w:t>
      </w:r>
      <w:bookmarkEnd w:id="198"/>
      <w:r>
        <w:rPr>
          <w:rFonts w:hint="eastAsia" w:ascii="宋体" w:hAnsi="宋体" w:eastAsia="宋体" w:cs="宋体"/>
          <w:color w:val="000000"/>
          <w:highlight w:val="none"/>
          <w:lang w:val="en-US" w:eastAsia="zh-CN"/>
        </w:rPr>
      </w:r>
      <w:r/>
    </w:p>
    <w:p>
      <w:pPr>
        <w:pStyle w:val="779"/>
        <w:numPr>
          <w:ilvl w:val="0"/>
          <w:numId w:val="5"/>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系统不能为地下管线规划审批提供支撑</w:t>
      </w:r>
      <w:r>
        <w:rPr>
          <w:rFonts w:hint="eastAsia" w:ascii="宋体" w:hAnsi="宋体" w:eastAsia="宋体" w:cs="宋体"/>
          <w:color w:val="000000"/>
          <w:highlight w:val="none"/>
          <w:lang w:val="en-US" w:eastAsia="zh-CN"/>
        </w:rPr>
      </w:r>
      <w:r/>
    </w:p>
    <w:p>
      <w:pPr>
        <w:pStyle w:val="779"/>
        <w:numPr>
          <w:ilvl w:val="0"/>
          <w:numId w:val="5"/>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系统二三维系统分离，维护工作量大</w:t>
      </w:r>
      <w:r>
        <w:rPr>
          <w:rFonts w:hint="eastAsia" w:ascii="宋体" w:hAnsi="宋体" w:eastAsia="宋体" w:cs="宋体"/>
          <w:color w:val="000000"/>
          <w:highlight w:val="none"/>
          <w:lang w:val="en-US" w:eastAsia="zh-CN"/>
        </w:rPr>
      </w:r>
      <w:r/>
    </w:p>
    <w:p>
      <w:pPr>
        <w:pStyle w:val="779"/>
        <w:numPr>
          <w:ilvl w:val="0"/>
          <w:numId w:val="5"/>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原有系统使用效率、稳定性和用户体验需要提升</w:t>
      </w:r>
      <w:r>
        <w:rPr>
          <w:rFonts w:hint="eastAsia" w:ascii="宋体" w:hAnsi="宋体" w:eastAsia="宋体" w:cs="宋体"/>
          <w:color w:val="000000"/>
          <w:highlight w:val="none"/>
          <w:lang w:val="en-US" w:eastAsia="zh-CN"/>
        </w:rPr>
      </w:r>
      <w:r/>
    </w:p>
    <w:p>
      <w:pPr>
        <w:pStyle w:val="779"/>
        <w:numPr>
          <w:ilvl w:val="0"/>
          <w:numId w:val="0"/>
        </w:numPr>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（3）需求分析</w:t>
      </w:r>
      <w:r>
        <w:rPr>
          <w:rFonts w:hint="eastAsia" w:ascii="宋体" w:hAnsi="宋体" w:eastAsia="宋体" w:cs="宋体"/>
          <w:b/>
          <w:bCs/>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业务需求</w:t>
      </w:r>
      <w:r>
        <w:rPr>
          <w:rFonts w:hint="eastAsia" w:ascii="宋体" w:hAnsi="宋体" w:eastAsia="宋体" w:cs="宋体"/>
          <w:color w:val="000000"/>
          <w:highlight w:val="none"/>
          <w:lang w:val="en-US" w:eastAsia="zh-CN"/>
        </w:rPr>
      </w:r>
      <w:r/>
    </w:p>
    <w:p>
      <w:pPr>
        <w:pStyle w:val="779"/>
        <w:numPr>
          <w:ilvl w:val="0"/>
          <w:numId w:val="6"/>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地下管线竣工数据常态化更新需求</w:t>
      </w:r>
      <w:r>
        <w:rPr>
          <w:rFonts w:hint="eastAsia" w:ascii="宋体" w:hAnsi="宋体" w:eastAsia="宋体" w:cs="宋体"/>
          <w:color w:val="000000"/>
          <w:highlight w:val="none"/>
          <w:lang w:val="en-US" w:eastAsia="zh-CN"/>
        </w:rPr>
      </w:r>
      <w:r/>
    </w:p>
    <w:p>
      <w:pPr>
        <w:pStyle w:val="779"/>
        <w:numPr>
          <w:ilvl w:val="0"/>
          <w:numId w:val="6"/>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地下管线数据分发</w:t>
      </w:r>
      <w:r>
        <w:rPr>
          <w:rFonts w:hint="eastAsia" w:ascii="宋体" w:hAnsi="宋体" w:eastAsia="宋体" w:cs="宋体"/>
          <w:color w:val="000000"/>
          <w:highlight w:val="none"/>
          <w:lang w:val="en-US" w:eastAsia="zh-CN"/>
        </w:rPr>
      </w:r>
      <w:r/>
    </w:p>
    <w:p>
      <w:pPr>
        <w:pStyle w:val="779"/>
        <w:numPr>
          <w:ilvl w:val="0"/>
          <w:numId w:val="6"/>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地下管线市区/区县一体化管理</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数据需求</w:t>
      </w:r>
      <w:r>
        <w:rPr>
          <w:rFonts w:hint="eastAsia" w:ascii="宋体" w:hAnsi="宋体" w:eastAsia="宋体" w:cs="宋体"/>
          <w:color w:val="000000"/>
          <w:highlight w:val="none"/>
          <w:lang w:val="en-US" w:eastAsia="zh-CN"/>
        </w:rPr>
      </w:r>
      <w:r/>
    </w:p>
    <w:p>
      <w:pPr>
        <w:pStyle w:val="779"/>
        <w:numPr>
          <w:ilvl w:val="0"/>
          <w:numId w:val="7"/>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外部数据接入</w:t>
      </w:r>
      <w:r>
        <w:rPr>
          <w:rFonts w:hint="eastAsia" w:ascii="宋体" w:hAnsi="宋体" w:eastAsia="宋体" w:cs="宋体"/>
          <w:color w:val="000000"/>
          <w:highlight w:val="none"/>
          <w:lang w:val="en-US" w:eastAsia="zh-CN"/>
        </w:rPr>
      </w:r>
      <w:r/>
    </w:p>
    <w:p>
      <w:pPr>
        <w:pStyle w:val="779"/>
        <w:numPr>
          <w:ilvl w:val="0"/>
          <w:numId w:val="7"/>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信息资源归集方案</w:t>
      </w:r>
      <w:r>
        <w:rPr>
          <w:rFonts w:hint="eastAsia" w:ascii="宋体" w:hAnsi="宋体" w:eastAsia="宋体" w:cs="宋体"/>
          <w:color w:val="000000"/>
          <w:highlight w:val="none"/>
          <w:lang w:val="en-US" w:eastAsia="zh-CN"/>
        </w:rPr>
      </w:r>
      <w:r/>
    </w:p>
    <w:p>
      <w:pPr>
        <w:pStyle w:val="779"/>
        <w:numPr>
          <w:ilvl w:val="0"/>
          <w:numId w:val="7"/>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信息资源共享方案</w:t>
      </w:r>
      <w:r>
        <w:rPr>
          <w:rFonts w:hint="eastAsia" w:ascii="宋体" w:hAnsi="宋体" w:eastAsia="宋体" w:cs="宋体"/>
          <w:color w:val="000000"/>
          <w:highlight w:val="none"/>
          <w:lang w:val="en-US" w:eastAsia="zh-CN"/>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系统功能需求</w:t>
      </w:r>
      <w:r>
        <w:rPr>
          <w:rFonts w:hint="eastAsia" w:ascii="宋体" w:hAnsi="宋体" w:eastAsia="宋体" w:cs="宋体"/>
          <w:color w:val="000000"/>
          <w:highlight w:val="none"/>
          <w:lang w:val="en-US" w:eastAsia="zh-CN"/>
        </w:rPr>
      </w:r>
      <w:r/>
    </w:p>
    <w:p>
      <w:pPr>
        <w:pStyle w:val="779"/>
        <w:numPr>
          <w:ilvl w:val="0"/>
          <w:numId w:val="8"/>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地下数据检查功能需求</w:t>
      </w:r>
      <w:r>
        <w:rPr>
          <w:rFonts w:hint="eastAsia" w:ascii="宋体" w:hAnsi="宋体" w:eastAsia="宋体" w:cs="宋体"/>
          <w:color w:val="000000"/>
          <w:highlight w:val="none"/>
          <w:lang w:val="en-US" w:eastAsia="zh-CN"/>
        </w:rPr>
      </w:r>
      <w:r/>
    </w:p>
    <w:p>
      <w:pPr>
        <w:pStyle w:val="779"/>
        <w:numPr>
          <w:ilvl w:val="0"/>
          <w:numId w:val="8"/>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地下管线更新管理功能需求</w:t>
      </w:r>
      <w:r>
        <w:rPr>
          <w:rFonts w:hint="eastAsia" w:ascii="宋体" w:hAnsi="宋体" w:eastAsia="宋体" w:cs="宋体"/>
          <w:color w:val="000000"/>
          <w:highlight w:val="none"/>
          <w:lang w:val="en-US" w:eastAsia="zh-CN"/>
        </w:rPr>
      </w:r>
      <w:r/>
    </w:p>
    <w:p>
      <w:pPr>
        <w:pStyle w:val="779"/>
        <w:numPr>
          <w:ilvl w:val="0"/>
          <w:numId w:val="8"/>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地下管线二三维应用功能需求</w:t>
      </w:r>
      <w:r>
        <w:rPr>
          <w:rFonts w:hint="eastAsia" w:ascii="宋体" w:hAnsi="宋体" w:eastAsia="宋体" w:cs="宋体"/>
          <w:color w:val="000000"/>
          <w:highlight w:val="none"/>
          <w:lang w:val="en-US" w:eastAsia="zh-CN"/>
        </w:rPr>
      </w:r>
      <w:r/>
    </w:p>
    <w:p>
      <w:pPr>
        <w:pStyle w:val="779"/>
        <w:numPr>
          <w:ilvl w:val="0"/>
          <w:numId w:val="8"/>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地下管线规划方案辅助审查功能需求</w:t>
      </w:r>
      <w:r>
        <w:rPr>
          <w:rFonts w:hint="eastAsia" w:ascii="宋体" w:hAnsi="宋体" w:eastAsia="宋体" w:cs="宋体"/>
          <w:color w:val="000000"/>
          <w:highlight w:val="none"/>
          <w:lang w:val="en-US" w:eastAsia="zh-CN"/>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软硬件需求</w:t>
      </w:r>
      <w:r>
        <w:rPr>
          <w:rFonts w:hint="eastAsia" w:ascii="宋体" w:hAnsi="宋体" w:eastAsia="宋体" w:cs="宋体"/>
          <w:color w:val="000000"/>
          <w:highlight w:val="none"/>
          <w:lang w:val="en-US" w:eastAsia="zh-CN"/>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操作系统需求分析</w:t>
      </w:r>
      <w:r>
        <w:rPr>
          <w:rFonts w:hint="eastAsia" w:ascii="宋体" w:hAnsi="宋体" w:eastAsia="宋体" w:cs="宋体"/>
          <w:color w:val="000000"/>
          <w:highlight w:val="none"/>
          <w:lang w:val="en-US" w:eastAsia="zh-CN"/>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根据实际应用需求，本项目服务器端的操作系统需要使用符合要求的国产操作系统。</w:t>
      </w:r>
      <w:r>
        <w:rPr>
          <w:rFonts w:hint="eastAsia" w:ascii="宋体" w:hAnsi="宋体" w:eastAsia="宋体" w:cs="宋体"/>
          <w:color w:val="000000"/>
          <w:highlight w:val="none"/>
          <w:lang w:val="en-US" w:eastAsia="zh-CN"/>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GIS平台需求分析</w:t>
      </w:r>
      <w:r>
        <w:rPr>
          <w:rFonts w:hint="eastAsia" w:ascii="宋体" w:hAnsi="宋体" w:eastAsia="宋体" w:cs="宋体"/>
          <w:color w:val="000000"/>
          <w:highlight w:val="none"/>
          <w:lang w:val="en-US" w:eastAsia="zh-CN"/>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需采购一套国产GIS平台服务器版软件，用于服务器端的二三维数据管理和数据服务发布。</w:t>
      </w:r>
      <w:r>
        <w:rPr>
          <w:rFonts w:hint="eastAsia" w:ascii="宋体" w:hAnsi="宋体" w:eastAsia="宋体" w:cs="宋体"/>
          <w:color w:val="000000"/>
          <w:highlight w:val="none"/>
          <w:lang w:val="en-US" w:eastAsia="zh-CN"/>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数据库需求分析</w:t>
      </w:r>
      <w:r>
        <w:rPr>
          <w:rFonts w:hint="eastAsia" w:ascii="宋体" w:hAnsi="宋体" w:eastAsia="宋体" w:cs="宋体"/>
          <w:color w:val="000000"/>
          <w:highlight w:val="none"/>
          <w:lang w:val="en-US" w:eastAsia="zh-CN"/>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根据实际应用需求，本项目数据库需要使用符合要求的国产数据库系统。</w:t>
      </w:r>
      <w:r>
        <w:rPr>
          <w:rFonts w:hint="eastAsia" w:ascii="宋体" w:hAnsi="宋体" w:eastAsia="宋体" w:cs="宋体"/>
          <w:color w:val="000000"/>
          <w:highlight w:val="none"/>
          <w:lang w:val="en-US" w:eastAsia="zh-CN"/>
        </w:rPr>
      </w:r>
      <w:r/>
    </w:p>
    <w:p>
      <w:pPr>
        <w:pStyle w:val="779"/>
        <w:numPr>
          <w:ilvl w:val="0"/>
          <w:numId w:val="0"/>
        </w:numPr>
        <w:ind w:firstLine="482"/>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highlight w:val="none"/>
        </w:rPr>
        <w:t xml:space="preserve">总体技术方案：</w:t>
      </w:r>
      <w:r>
        <w:rPr>
          <w:rFonts w:hint="eastAsia" w:ascii="宋体" w:hAnsi="宋体" w:eastAsia="宋体" w:cs="宋体"/>
          <w:color w:val="000000"/>
          <w:highlight w:val="none"/>
          <w:lang w:val="en-US" w:eastAsia="zh-CN"/>
        </w:rPr>
        <w:t xml:space="preserve">对</w:t>
      </w:r>
      <w:r>
        <w:rPr>
          <w:rFonts w:hint="eastAsia" w:ascii="宋体" w:hAnsi="宋体" w:eastAsia="宋体" w:cs="宋体"/>
          <w:sz w:val="24"/>
          <w:highlight w:val="none"/>
        </w:rPr>
        <w:t xml:space="preserve">盐城市地下管线信息化技术要求和运行管理制度制定</w:t>
      </w:r>
      <w:r>
        <w:rPr>
          <w:rFonts w:hint="eastAsia" w:ascii="宋体" w:hAnsi="宋体" w:eastAsia="宋体" w:cs="宋体"/>
          <w:sz w:val="24"/>
          <w:highlight w:val="none"/>
          <w:lang w:eastAsia="zh-CN"/>
        </w:rPr>
        <w:t xml:space="preserve">、盐城市地下管线数据治理、</w:t>
      </w:r>
      <w:r>
        <w:rPr>
          <w:rFonts w:hint="eastAsia" w:ascii="宋体" w:hAnsi="宋体" w:eastAsia="宋体" w:cs="宋体"/>
          <w:sz w:val="24"/>
          <w:highlight w:val="none"/>
        </w:rPr>
        <w:t xml:space="preserve">盐城市地下管线信息管理系统建设</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基础软硬件采购</w:t>
      </w:r>
      <w:r>
        <w:rPr>
          <w:rFonts w:hint="eastAsia" w:ascii="宋体" w:hAnsi="宋体" w:eastAsia="宋体" w:cs="宋体"/>
          <w:sz w:val="24"/>
          <w:highlight w:val="none"/>
          <w:lang w:val="en-US" w:eastAsia="zh-CN"/>
        </w:rPr>
        <w:t xml:space="preserve">等建设内容，提出完整、准确的总体技术方案，至少</w:t>
      </w:r>
      <w:r>
        <w:rPr>
          <w:rFonts w:hint="eastAsia" w:ascii="宋体" w:hAnsi="宋体" w:eastAsia="宋体" w:cs="宋体"/>
          <w:color w:val="000000"/>
          <w:highlight w:val="none"/>
          <w:lang w:val="en-US" w:eastAsia="zh-CN"/>
        </w:rPr>
        <w:t xml:space="preserve">包含：</w:t>
      </w:r>
      <w:r>
        <w:rPr>
          <w:rFonts w:hint="eastAsia" w:ascii="宋体" w:hAnsi="宋体" w:eastAsia="宋体" w:cs="宋体"/>
          <w:color w:val="000000"/>
          <w:highlight w:val="none"/>
        </w:rPr>
        <w:t xml:space="preserve">总体架构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数据架构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数据更新机制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关键技术</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79"/>
        <w:numPr>
          <w:ilvl w:val="0"/>
          <w:numId w:val="0"/>
        </w:numPr>
        <w:ind w:firstLine="482"/>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highlight w:val="none"/>
        </w:rPr>
        <w:t xml:space="preserve">总体架构</w:t>
      </w:r>
      <w:r>
        <w:rPr>
          <w:rFonts w:hint="eastAsia" w:ascii="宋体" w:hAnsi="宋体" w:eastAsia="宋体" w:cs="宋体"/>
          <w:b/>
          <w:bCs/>
          <w:color w:val="000000"/>
          <w:highlight w:val="none"/>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系统总体架构包括支撑层、数据层、平台层、用户层四个层次。它们相互联系，形成一个有机的整体，并通过构建贯穿不同层次的标准规范制度和安全保障体系，按照总体建设思路进行系统设计和建设。</w:t>
      </w:r>
      <w:r>
        <w:rPr>
          <w:rFonts w:hint="eastAsia" w:ascii="宋体" w:hAnsi="宋体" w:eastAsia="宋体" w:cs="宋体"/>
          <w:color w:val="000000"/>
          <w:highlight w:val="none"/>
          <w:lang w:eastAsia="zh-CN"/>
        </w:rPr>
      </w:r>
      <w:r/>
    </w:p>
    <w:p>
      <w:pPr>
        <w:pStyle w:val="779"/>
        <w:numPr>
          <w:ilvl w:val="0"/>
          <w:numId w:val="9"/>
        </w:numPr>
        <w:ind w:firstLine="482"/>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数据架构</w:t>
      </w:r>
      <w:r>
        <w:rPr>
          <w:rFonts w:hint="eastAsia" w:ascii="宋体" w:hAnsi="宋体" w:eastAsia="宋体" w:cs="宋体"/>
          <w:b/>
          <w:bCs/>
          <w:color w:val="000000"/>
          <w:highlight w:val="none"/>
        </w:rPr>
      </w:r>
      <w:r/>
    </w:p>
    <w:p>
      <w:pPr>
        <w:pStyle w:val="779"/>
        <w:numPr>
          <w:ilvl w:val="0"/>
          <w:numId w:val="1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要对地下管线大类和子类进行重新划分</w:t>
      </w:r>
      <w:r>
        <w:rPr>
          <w:rFonts w:hint="eastAsia" w:ascii="宋体" w:hAnsi="宋体" w:eastAsia="宋体" w:cs="宋体"/>
          <w:color w:val="000000"/>
          <w:highlight w:val="none"/>
          <w:lang w:eastAsia="zh-CN"/>
        </w:rPr>
      </w:r>
      <w:r/>
    </w:p>
    <w:p>
      <w:pPr>
        <w:pStyle w:val="779"/>
        <w:numPr>
          <w:ilvl w:val="0"/>
          <w:numId w:val="1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szCs w:val="24"/>
        </w:rPr>
        <w:t xml:space="preserve">对管点、管线数据字典按照《江苏省城市地下管线数据标准》要求进行重新设计</w:t>
      </w:r>
      <w:r>
        <w:rPr>
          <w:rFonts w:hint="eastAsia" w:ascii="宋体" w:hAnsi="宋体" w:eastAsia="宋体" w:cs="宋体"/>
          <w:color w:val="000000"/>
          <w:highlight w:val="none"/>
          <w:lang w:eastAsia="zh-CN"/>
        </w:rPr>
      </w:r>
      <w:r/>
    </w:p>
    <w:p>
      <w:pPr>
        <w:pStyle w:val="779"/>
        <w:numPr>
          <w:ilvl w:val="0"/>
          <w:numId w:val="1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t xml:space="preserve">对治理后盐城市中心城区地下管线按照新的数据库结构进行迁移</w:t>
      </w:r>
      <w:r>
        <w:rPr>
          <w:rFonts w:hint="eastAsia" w:ascii="宋体" w:hAnsi="宋体" w:eastAsia="宋体" w:cs="宋体"/>
          <w:color w:val="000000"/>
          <w:highlight w:val="none"/>
          <w:lang w:eastAsia="zh-CN"/>
        </w:rPr>
      </w:r>
      <w:r/>
    </w:p>
    <w:p>
      <w:pPr>
        <w:pStyle w:val="779"/>
        <w:numPr>
          <w:ilvl w:val="0"/>
          <w:numId w:val="9"/>
        </w:numPr>
        <w:ind w:left="0" w:firstLine="482"/>
        <w:jc w:val="both"/>
        <w:spacing w:beforeAutospacing="0" w:afterAutospacing="0" w:line="54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数据更新机制</w:t>
      </w:r>
      <w:r>
        <w:rPr>
          <w:rFonts w:hint="eastAsia" w:ascii="宋体" w:hAnsi="宋体" w:eastAsia="宋体" w:cs="宋体"/>
          <w:b/>
          <w:bCs/>
          <w:color w:val="000000"/>
          <w:highlight w:val="none"/>
          <w:lang w:eastAsia="zh-CN"/>
        </w:rPr>
      </w:r>
      <w:r/>
    </w:p>
    <w:p>
      <w:pPr>
        <w:pStyle w:val="779"/>
        <w:numPr>
          <w:ilvl w:val="0"/>
          <w:numId w:val="11"/>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普查入库</w:t>
      </w:r>
      <w:r>
        <w:rPr>
          <w:rFonts w:hint="eastAsia" w:ascii="宋体" w:hAnsi="宋体" w:eastAsia="宋体" w:cs="宋体"/>
          <w:color w:val="000000"/>
          <w:highlight w:val="none"/>
          <w:lang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实现普查数据入库，数据入库完成后支持统计入库信息和导出功能。</w:t>
      </w:r>
      <w:r>
        <w:rPr>
          <w:rFonts w:hint="eastAsia" w:ascii="宋体" w:hAnsi="宋体" w:eastAsia="宋体" w:cs="宋体"/>
          <w:color w:val="000000"/>
          <w:highlight w:val="none"/>
          <w:lang w:val="en-US" w:eastAsia="zh-CN"/>
        </w:rPr>
      </w:r>
      <w:r/>
    </w:p>
    <w:p>
      <w:pPr>
        <w:pStyle w:val="779"/>
        <w:numPr>
          <w:ilvl w:val="0"/>
          <w:numId w:val="11"/>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普查更新</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实现普查数据更新，支持清库和追加两种模式入库，支持待更新入库与库体数据的图文一体化差异比对，清晰区分新增、修改和删除管线和管点要素。数据更新完成后支持统计更新信息和导出功能。</w:t>
      </w:r>
      <w:r>
        <w:rPr>
          <w:rFonts w:hint="eastAsia" w:ascii="宋体" w:hAnsi="宋体" w:eastAsia="宋体" w:cs="宋体"/>
          <w:color w:val="000000"/>
          <w:highlight w:val="none"/>
          <w:lang w:val="en-US" w:eastAsia="zh-CN"/>
        </w:rPr>
      </w:r>
      <w:r/>
    </w:p>
    <w:p>
      <w:pPr>
        <w:pStyle w:val="779"/>
        <w:numPr>
          <w:ilvl w:val="0"/>
          <w:numId w:val="11"/>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竣工更新</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实现竣工管线数据更新入库，包括更新信息填写、选择数据、数据质检、更新比对、数据入库、更新数据统计以及导出入库报告。</w:t>
      </w:r>
      <w:r>
        <w:rPr>
          <w:rFonts w:hint="eastAsia" w:ascii="宋体" w:hAnsi="宋体" w:eastAsia="宋体" w:cs="宋体"/>
          <w:color w:val="000000"/>
          <w:highlight w:val="none"/>
          <w:lang w:val="en-US" w:eastAsia="zh-CN"/>
        </w:rPr>
      </w:r>
      <w:r/>
    </w:p>
    <w:p>
      <w:pPr>
        <w:pStyle w:val="779"/>
        <w:numPr>
          <w:ilvl w:val="0"/>
          <w:numId w:val="11"/>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管网接边</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支持通过属性列表形式展示接边结果，以图文一体化形式在地图上快速定位接边效果。</w:t>
      </w:r>
      <w:r>
        <w:rPr>
          <w:rFonts w:hint="eastAsia" w:ascii="宋体" w:hAnsi="宋体" w:eastAsia="宋体" w:cs="宋体"/>
          <w:color w:val="000000"/>
          <w:highlight w:val="none"/>
          <w:lang w:val="en-US" w:eastAsia="zh-CN"/>
        </w:rPr>
      </w:r>
      <w:r/>
    </w:p>
    <w:p>
      <w:pPr>
        <w:pStyle w:val="779"/>
        <w:numPr>
          <w:ilvl w:val="0"/>
          <w:numId w:val="11"/>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数据更新统计</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为方便核实数据入库的完整性，需支持对入库后数据的分类数量统计。</w:t>
      </w:r>
      <w:r>
        <w:rPr>
          <w:rFonts w:hint="eastAsia" w:ascii="宋体" w:hAnsi="宋体" w:eastAsia="宋体" w:cs="宋体"/>
          <w:color w:val="000000"/>
          <w:highlight w:val="none"/>
          <w:lang w:val="en-US" w:eastAsia="zh-CN"/>
        </w:rPr>
      </w:r>
      <w:r/>
    </w:p>
    <w:p>
      <w:pPr>
        <w:pStyle w:val="779"/>
        <w:numPr>
          <w:ilvl w:val="0"/>
          <w:numId w:val="9"/>
        </w:numPr>
        <w:ind w:left="0" w:firstLine="482"/>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关键技术</w:t>
      </w:r>
      <w:r>
        <w:rPr>
          <w:rFonts w:hint="eastAsia" w:ascii="宋体" w:hAnsi="宋体" w:eastAsia="宋体" w:cs="宋体"/>
          <w:b/>
          <w:bCs/>
          <w:color w:val="000000"/>
          <w:highlight w:val="none"/>
        </w:rPr>
      </w:r>
      <w:r/>
    </w:p>
    <w:p>
      <w:pPr>
        <w:pStyle w:val="779"/>
        <w:numPr>
          <w:ilvl w:val="0"/>
          <w:numId w:val="12"/>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单点登录</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本系统采用单点登录的设计，单点登录验证服务器统一采用CAS架构，CAS服务器独立部署，避免与其他的业务系统耦合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79"/>
        <w:numPr>
          <w:ilvl w:val="0"/>
          <w:numId w:val="12"/>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一体化数据模型整合建库技术</w:t>
      </w:r>
      <w:r>
        <w:rPr>
          <w:rFonts w:hint="eastAsia" w:ascii="宋体" w:hAnsi="宋体" w:eastAsia="宋体" w:cs="宋体"/>
          <w:color w:val="000000"/>
          <w:highlight w:val="none"/>
          <w:lang w:val="en-US" w:eastAsia="zh-CN"/>
        </w:rPr>
      </w:r>
      <w:r/>
    </w:p>
    <w:p>
      <w:pPr>
        <w:pStyle w:val="779"/>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按照统一的时空框架、统一的面向对象数据组织的基本原则进行数据一体化组织管理设计。</w:t>
      </w:r>
      <w:r>
        <w:rPr>
          <w:rFonts w:hint="eastAsia" w:ascii="宋体" w:hAnsi="宋体" w:eastAsia="宋体" w:cs="宋体"/>
          <w:color w:val="000000"/>
          <w:highlight w:val="none"/>
        </w:rPr>
      </w:r>
      <w:r/>
    </w:p>
    <w:p>
      <w:pPr>
        <w:pStyle w:val="779"/>
        <w:numPr>
          <w:ilvl w:val="0"/>
          <w:numId w:val="12"/>
        </w:numPr>
        <w:ind w:left="0"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数据联动更新技术</w:t>
      </w:r>
      <w:r>
        <w:rPr>
          <w:rFonts w:hint="eastAsia" w:ascii="宋体" w:hAnsi="宋体" w:eastAsia="宋体" w:cs="宋体"/>
          <w:color w:val="000000"/>
          <w:highlight w:val="none"/>
        </w:rPr>
      </w:r>
      <w:r/>
    </w:p>
    <w:p>
      <w:pPr>
        <w:pStyle w:val="779"/>
        <w:numPr>
          <w:ilvl w:val="0"/>
          <w:numId w:val="0"/>
        </w:numPr>
        <w:ind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基于构建的统一数据模型，通过业务系统的有效衔接，根据业务权限、管理职能的差异分为自上而下、自下而上以及二者相结合的方式进行联动更新，依托缓沖资源池中的临时存储池来实现数据联动更新</w:t>
      </w:r>
      <w:r>
        <w:rPr>
          <w:rFonts w:hint="eastAsia" w:ascii="宋体" w:hAnsi="宋体" w:eastAsia="宋体" w:cs="宋体"/>
          <w:color w:val="000000"/>
          <w:highlight w:val="none"/>
        </w:rPr>
      </w:r>
      <w:r/>
    </w:p>
    <w:p>
      <w:pPr>
        <w:pStyle w:val="779"/>
        <w:numPr>
          <w:ilvl w:val="0"/>
          <w:numId w:val="12"/>
        </w:numPr>
        <w:ind w:left="0"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矢量调图技术</w:t>
      </w:r>
      <w:r>
        <w:rPr>
          <w:rFonts w:hint="eastAsia" w:ascii="宋体" w:hAnsi="宋体" w:eastAsia="宋体" w:cs="宋体"/>
          <w:color w:val="000000"/>
          <w:highlight w:val="none"/>
        </w:rPr>
      </w:r>
      <w:r/>
    </w:p>
    <w:p>
      <w:pPr>
        <w:pStyle w:val="779"/>
        <w:numPr>
          <w:ilvl w:val="0"/>
          <w:numId w:val="0"/>
        </w:numPr>
        <w:ind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根据当前屏幕的范围去后台获取该范围内的地图数据呈现到前端，由于每次缩放都会去后台取图，所以数据实时性高，数据更新后即可看见数据结果。</w:t>
      </w:r>
      <w:r>
        <w:rPr>
          <w:rFonts w:hint="eastAsia" w:ascii="宋体" w:hAnsi="宋体" w:eastAsia="宋体" w:cs="宋体"/>
          <w:color w:val="000000"/>
          <w:highlight w:val="none"/>
        </w:rPr>
      </w:r>
      <w:r/>
    </w:p>
    <w:p>
      <w:pPr>
        <w:pStyle w:val="779"/>
        <w:numPr>
          <w:ilvl w:val="0"/>
          <w:numId w:val="12"/>
        </w:numPr>
        <w:ind w:left="0"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二三维一体化技术</w:t>
      </w:r>
      <w:r>
        <w:rPr>
          <w:rFonts w:hint="eastAsia" w:ascii="宋体" w:hAnsi="宋体" w:eastAsia="宋体" w:cs="宋体"/>
          <w:color w:val="000000"/>
          <w:highlight w:val="none"/>
        </w:rPr>
      </w:r>
      <w:r/>
    </w:p>
    <w:p>
      <w:pPr>
        <w:pStyle w:val="779"/>
        <w:numPr>
          <w:ilvl w:val="0"/>
          <w:numId w:val="0"/>
        </w:numPr>
        <w:ind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二三维一体化技术是基于统一数据模型，从数据展现、数据浏览、编辑、分析全方位的一体化</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79"/>
        <w:numPr>
          <w:ilvl w:val="0"/>
          <w:numId w:val="12"/>
        </w:numPr>
        <w:ind w:left="0"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融合面向服务的微服务架构</w:t>
      </w:r>
      <w:r>
        <w:rPr>
          <w:rFonts w:hint="eastAsia" w:ascii="宋体" w:hAnsi="宋体" w:eastAsia="宋体" w:cs="宋体"/>
          <w:color w:val="000000"/>
          <w:highlight w:val="none"/>
        </w:rPr>
      </w:r>
      <w:r/>
    </w:p>
    <w:p>
      <w:pPr>
        <w:pStyle w:val="779"/>
        <w:numPr>
          <w:ilvl w:val="0"/>
          <w:numId w:val="0"/>
        </w:numPr>
        <w:ind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微服务架构是一种将单应用程序作为一套小型服务开发的方法，围绕业务功能构建，可以通过全自动部署机制进行独立部署。</w:t>
      </w:r>
      <w:r>
        <w:rPr>
          <w:rFonts w:hint="eastAsia" w:ascii="宋体" w:hAnsi="宋体" w:eastAsia="宋体" w:cs="宋体"/>
          <w:color w:val="000000"/>
          <w:highlight w:val="none"/>
        </w:rPr>
      </w:r>
      <w:r/>
    </w:p>
    <w:p>
      <w:pPr>
        <w:pStyle w:val="779"/>
        <w:numPr>
          <w:ilvl w:val="0"/>
          <w:numId w:val="12"/>
        </w:numPr>
        <w:ind w:left="0"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服务的分布式部署</w:t>
      </w:r>
      <w:r>
        <w:rPr>
          <w:rFonts w:hint="eastAsia" w:ascii="宋体" w:hAnsi="宋体" w:eastAsia="宋体" w:cs="宋体"/>
          <w:color w:val="000000"/>
          <w:highlight w:val="none"/>
        </w:rPr>
      </w:r>
      <w:r/>
    </w:p>
    <w:p>
      <w:pPr>
        <w:pStyle w:val="779"/>
        <w:numPr>
          <w:ilvl w:val="0"/>
          <w:numId w:val="0"/>
        </w:numPr>
        <w:ind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系统采用微服务架构，并构建监控中心监控微服务集群</w:t>
      </w:r>
      <w:r>
        <w:rPr>
          <w:rFonts w:hint="eastAsia" w:ascii="宋体" w:hAnsi="宋体" w:eastAsia="宋体" w:cs="宋体"/>
          <w:color w:val="000000"/>
          <w:highlight w:val="none"/>
        </w:rPr>
      </w:r>
      <w:r/>
    </w:p>
    <w:p>
      <w:pPr>
        <w:pStyle w:val="779"/>
        <w:numPr>
          <w:ilvl w:val="0"/>
          <w:numId w:val="12"/>
        </w:numPr>
        <w:ind w:left="0"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基于负载均衡的任务调度技术</w:t>
      </w:r>
      <w:r>
        <w:rPr>
          <w:rFonts w:hint="eastAsia" w:ascii="宋体" w:hAnsi="宋体" w:eastAsia="宋体" w:cs="宋体"/>
          <w:color w:val="000000"/>
          <w:highlight w:val="none"/>
        </w:rPr>
      </w:r>
      <w:r/>
    </w:p>
    <w:p>
      <w:pPr>
        <w:pStyle w:val="779"/>
        <w:numPr>
          <w:ilvl w:val="0"/>
          <w:numId w:val="0"/>
        </w:numPr>
        <w:ind w:firstLine="480"/>
        <w:jc w:val="both"/>
        <w:keepLines w:val="0"/>
        <w:keepNext w:val="0"/>
        <w:pageBreakBefore w:val="0"/>
        <w:spacing w:beforeAutospacing="0" w:afterAutospacing="0" w:line="5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任务调度系统建立在现有的网络结构之上，通过负载均衡技术，将外部发送来的任务均匀分配到节点上执行，提高系统的生命力和灵活性。</w:t>
      </w:r>
      <w:r>
        <w:rPr>
          <w:rFonts w:hint="eastAsia" w:ascii="宋体" w:hAnsi="宋体" w:eastAsia="宋体" w:cs="宋体"/>
          <w:color w:val="000000"/>
          <w:highlight w:val="none"/>
        </w:rPr>
      </w:r>
      <w:r/>
    </w:p>
    <w:p>
      <w:pPr>
        <w:pStyle w:val="779"/>
        <w:numPr>
          <w:ilvl w:val="0"/>
          <w:numId w:val="0"/>
        </w:numPr>
        <w:ind w:firstLine="482"/>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rPr>
        <w:t xml:space="preserve">3、项目建设方案：</w:t>
      </w:r>
      <w:r>
        <w:rPr>
          <w:rFonts w:hint="eastAsia" w:ascii="宋体" w:hAnsi="宋体" w:eastAsia="宋体" w:cs="宋体"/>
          <w:color w:val="000000"/>
          <w:highlight w:val="none"/>
          <w:lang w:val="en-US" w:eastAsia="zh-CN"/>
        </w:rPr>
        <w:t xml:space="preserve">至少包含</w:t>
      </w:r>
      <w:r>
        <w:rPr>
          <w:rFonts w:hint="eastAsia" w:ascii="宋体" w:hAnsi="宋体" w:eastAsia="宋体" w:cs="宋体"/>
          <w:sz w:val="24"/>
          <w:highlight w:val="none"/>
        </w:rPr>
        <w:t xml:space="preserve">盐城市地下管线信息化技术要求和运行管理制度制定</w:t>
      </w:r>
      <w:r>
        <w:rPr>
          <w:rFonts w:hint="eastAsia" w:ascii="宋体" w:hAnsi="宋体" w:eastAsia="宋体" w:cs="宋体"/>
          <w:sz w:val="24"/>
          <w:highlight w:val="none"/>
          <w:lang w:eastAsia="zh-CN"/>
        </w:rPr>
        <w:t xml:space="preserve">、盐城市地下管线数据治理、</w:t>
      </w:r>
      <w:r>
        <w:rPr>
          <w:rFonts w:hint="eastAsia" w:ascii="宋体" w:hAnsi="宋体" w:eastAsia="宋体" w:cs="宋体"/>
          <w:sz w:val="24"/>
          <w:highlight w:val="none"/>
        </w:rPr>
        <w:t xml:space="preserve">盐城市地下管线信息管理系统建设</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基础软硬件采购</w:t>
      </w:r>
      <w:r>
        <w:rPr>
          <w:rFonts w:hint="eastAsia" w:ascii="宋体" w:hAnsi="宋体" w:eastAsia="宋体" w:cs="宋体"/>
          <w:sz w:val="24"/>
          <w:highlight w:val="none"/>
          <w:lang w:val="en-US" w:eastAsia="zh-CN"/>
        </w:rPr>
        <w:t xml:space="preserve">等建设内容</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79"/>
        <w:numPr>
          <w:ilvl w:val="0"/>
          <w:numId w:val="0"/>
        </w:numPr>
        <w:ind w:firstLine="482"/>
        <w:jc w:val="both"/>
        <w:spacing w:beforeAutospacing="0" w:afterAutospacing="0" w:line="540" w:lineRule="exact"/>
        <w:rPr>
          <w:rFonts w:hint="eastAsia" w:ascii="宋体" w:hAnsi="宋体" w:eastAsia="宋体" w:cs="宋体"/>
          <w:b/>
          <w:bCs/>
          <w:sz w:val="24"/>
          <w:highlight w:val="none"/>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sz w:val="24"/>
          <w:highlight w:val="none"/>
        </w:rPr>
        <w:t xml:space="preserve">盐城市地下管线信息化技术要求和运行管理制度制定</w:t>
      </w:r>
      <w:r>
        <w:rPr>
          <w:rFonts w:hint="eastAsia" w:ascii="宋体" w:hAnsi="宋体" w:eastAsia="宋体" w:cs="宋体"/>
          <w:b/>
          <w:bCs/>
          <w:sz w:val="24"/>
          <w:highlight w:val="none"/>
        </w:rPr>
      </w:r>
      <w:r/>
    </w:p>
    <w:p>
      <w:pPr>
        <w:pStyle w:val="779"/>
        <w:numPr>
          <w:ilvl w:val="0"/>
          <w:numId w:val="0"/>
        </w:numPr>
        <w:ind w:firstLine="480"/>
        <w:jc w:val="both"/>
        <w:spacing w:beforeAutospacing="0" w:afterAutospacing="0" w:line="5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要求：充分借鉴利用已有的国家、行业及地方标准，学习兄弟城市的先进经验，制定适合盐城市地方特色的地下管线信息化技术要求及相关的运行维护管理规章制度。</w:t>
      </w:r>
      <w:r>
        <w:rPr>
          <w:rFonts w:hint="eastAsia" w:ascii="宋体" w:hAnsi="宋体" w:eastAsia="宋体" w:cs="宋体"/>
          <w:sz w:val="24"/>
          <w:highlight w:val="none"/>
          <w:lang w:val="en-US" w:eastAsia="zh-CN"/>
        </w:rPr>
      </w:r>
      <w:r/>
    </w:p>
    <w:p>
      <w:pPr>
        <w:pStyle w:val="779"/>
        <w:numPr>
          <w:ilvl w:val="0"/>
          <w:numId w:val="0"/>
        </w:numPr>
        <w:ind w:firstLine="482"/>
        <w:jc w:val="both"/>
        <w:spacing w:beforeAutospacing="0" w:afterAutospacing="0" w:line="54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lang w:eastAsia="zh-CN"/>
        </w:rPr>
        <w:t xml:space="preserve">盐城市地下管线数据治理</w:t>
      </w:r>
      <w:r>
        <w:rPr>
          <w:rFonts w:hint="eastAsia" w:ascii="宋体" w:hAnsi="宋体" w:eastAsia="宋体" w:cs="宋体"/>
          <w:b/>
          <w:bCs/>
          <w:sz w:val="24"/>
          <w:highlight w:val="none"/>
          <w:lang w:eastAsia="zh-CN"/>
        </w:rPr>
      </w:r>
      <w:r/>
    </w:p>
    <w:p>
      <w:pPr>
        <w:pStyle w:val="779"/>
        <w:numPr>
          <w:ilvl w:val="0"/>
          <w:numId w:val="0"/>
        </w:numPr>
        <w:ind w:firstLine="480"/>
        <w:jc w:val="both"/>
        <w:spacing w:beforeAutospacing="0" w:afterAutospacing="0" w:line="5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要求：站在“智慧盐城”及盐城市地下市政基础设施管理、盐城市生命线工程建设发展的高度，基于盐城市地下管线规划、建设管理需求，从顶层设计上重新设计盐城市地下管线的数据库结构，并在此基础上对现有管线数据及新增管线数据进行统一数据处理，最终形成盐城市市县一体化地下管线数据底座。</w:t>
      </w:r>
      <w:r>
        <w:rPr>
          <w:rFonts w:hint="eastAsia" w:ascii="宋体" w:hAnsi="宋体" w:eastAsia="宋体" w:cs="宋体"/>
          <w:sz w:val="24"/>
          <w:highlight w:val="none"/>
          <w:lang w:val="en-US" w:eastAsia="zh-CN"/>
        </w:rPr>
      </w:r>
      <w:r/>
    </w:p>
    <w:p>
      <w:pPr>
        <w:pStyle w:val="779"/>
        <w:numPr>
          <w:ilvl w:val="0"/>
          <w:numId w:val="0"/>
        </w:numPr>
        <w:ind w:firstLine="482"/>
        <w:jc w:val="both"/>
        <w:spacing w:beforeAutospacing="0" w:afterAutospacing="0" w:line="54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盐城市地下管线信息管理系统建设</w:t>
      </w:r>
      <w:r>
        <w:rPr>
          <w:rFonts w:hint="eastAsia" w:ascii="宋体" w:hAnsi="宋体" w:eastAsia="宋体" w:cs="宋体"/>
          <w:b/>
          <w:bCs/>
          <w:sz w:val="24"/>
          <w:highlight w:val="none"/>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sz w:val="24"/>
          <w:highlight w:val="none"/>
          <w:lang w:val="en-US" w:eastAsia="zh-CN"/>
        </w:rPr>
        <w:t xml:space="preserve">要求：建设一套市县一体化、</w:t>
      </w:r>
      <w:r>
        <w:rPr>
          <w:highlight w:val="none"/>
        </w:rPr>
        <w:t xml:space="preserve">全面国产化</w:t>
      </w:r>
      <w:r>
        <w:rPr>
          <w:rFonts w:hint="eastAsia" w:eastAsia="宋体"/>
          <w:highlight w:val="none"/>
          <w:lang w:val="en-US" w:eastAsia="zh-CN"/>
        </w:rPr>
        <w:t xml:space="preserve">的</w:t>
      </w:r>
      <w:r>
        <w:rPr>
          <w:rFonts w:hint="eastAsia" w:ascii="宋体" w:hAnsi="宋体" w:eastAsia="宋体" w:cs="宋体"/>
          <w:sz w:val="24"/>
          <w:highlight w:val="none"/>
          <w:lang w:val="en-US" w:eastAsia="zh-CN"/>
        </w:rPr>
        <w:t xml:space="preserve">地下管线信息管理系统，包括原系统国产化适配开发、管线数据检查工具软件（单机版）、管线数据质检子系统（B/S版）、管线数据管理子系统（B/S版）、管线二三维应用子系统（B/S版）、地下管线规划方案辅助审查子系统（B/S版）、</w:t>
      </w:r>
      <w:r>
        <w:rPr>
          <w:rFonts w:hint="eastAsia" w:ascii="宋体" w:hAnsi="宋体" w:eastAsia="宋体" w:cs="宋体"/>
          <w:sz w:val="24"/>
          <w:highlight w:val="none"/>
        </w:rPr>
        <w:t xml:space="preserve">运行维护管理子系统（B/S版）</w:t>
      </w:r>
      <w:r>
        <w:rPr>
          <w:rFonts w:hint="eastAsia" w:ascii="宋体" w:hAnsi="宋体" w:eastAsia="宋体" w:cs="宋体"/>
          <w:sz w:val="24"/>
          <w:highlight w:val="none"/>
          <w:lang w:eastAsia="zh-CN"/>
        </w:rPr>
        <w:t xml:space="preserve">。</w:t>
      </w:r>
      <w:r>
        <w:rPr>
          <w:rFonts w:hint="eastAsia" w:ascii="宋体" w:hAnsi="宋体" w:eastAsia="宋体" w:cs="宋体"/>
          <w:color w:val="000000"/>
          <w:highlight w:val="none"/>
        </w:rPr>
        <w:t xml:space="preserve">每个功能需与需求吻合。</w:t>
      </w:r>
      <w:r>
        <w:rPr>
          <w:rFonts w:hint="eastAsia" w:ascii="宋体" w:hAnsi="宋体" w:eastAsia="宋体" w:cs="宋体"/>
          <w:color w:val="000000"/>
          <w:highlight w:val="none"/>
        </w:rPr>
      </w:r>
      <w:r/>
    </w:p>
    <w:p>
      <w:pPr>
        <w:pStyle w:val="779"/>
        <w:numPr>
          <w:ilvl w:val="0"/>
          <w:numId w:val="0"/>
        </w:numPr>
        <w:ind w:firstLine="482"/>
        <w:jc w:val="both"/>
        <w:spacing w:beforeAutospacing="0" w:afterAutospacing="0" w:line="540" w:lineRule="exact"/>
        <w:rPr>
          <w:rFonts w:hint="eastAsia" w:ascii="宋体" w:hAnsi="宋体" w:eastAsia="宋体" w:cs="宋体"/>
          <w:b/>
          <w:bCs/>
          <w:sz w:val="24"/>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lang w:eastAsia="zh-CN"/>
        </w:rPr>
        <w:t xml:space="preserve">）</w:t>
      </w:r>
      <w:r>
        <w:rPr>
          <w:rFonts w:hint="eastAsia" w:ascii="宋体" w:hAnsi="宋体" w:eastAsia="宋体" w:cs="宋体"/>
          <w:b/>
          <w:bCs/>
          <w:sz w:val="24"/>
          <w:highlight w:val="none"/>
        </w:rPr>
        <w:t xml:space="preserve">基础软硬件采购</w:t>
      </w:r>
      <w:r>
        <w:rPr>
          <w:rFonts w:hint="eastAsia" w:ascii="宋体" w:hAnsi="宋体" w:eastAsia="宋体" w:cs="宋体"/>
          <w:b/>
          <w:bCs/>
          <w:sz w:val="24"/>
          <w:highlight w:val="none"/>
        </w:rPr>
      </w:r>
      <w:r/>
    </w:p>
    <w:p>
      <w:pPr>
        <w:pStyle w:val="779"/>
        <w:numPr>
          <w:ilvl w:val="0"/>
          <w:numId w:val="0"/>
        </w:numPr>
        <w:ind w:firstLine="480"/>
        <w:jc w:val="both"/>
        <w:spacing w:beforeAutospacing="0" w:afterAutospacing="0" w:line="54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要求：为满足地下管线信息管理系统专网部署要求，需配套采购2台国产服务器、2套国产操作系统、1套国产GIS服务器版、1套国产GIS跨平台桌面版、1套国产数据库、1套国产中间件以及配套的网络安全软硬件设备。</w:t>
      </w:r>
      <w:r>
        <w:rPr>
          <w:rFonts w:ascii="宋体" w:hAnsi="宋体" w:eastAsia="宋体" w:cs="宋体"/>
          <w:sz w:val="24"/>
          <w:highlight w:val="none"/>
          <w:lang w:val="en-US" w:eastAsia="zh-CN"/>
        </w:rPr>
      </w:r>
      <w:r/>
    </w:p>
    <w:p>
      <w:pPr>
        <w:pStyle w:val="779"/>
        <w:numPr>
          <w:ilvl w:val="0"/>
          <w:numId w:val="0"/>
        </w:numPr>
        <w:ind w:firstLine="482"/>
        <w:jc w:val="both"/>
        <w:spacing w:beforeAutospacing="0" w:afterAutospacing="0" w:line="540" w:lineRule="exact"/>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rPr>
        <w:t xml:space="preserve">4、进度安排及保障：</w:t>
      </w:r>
      <w:r>
        <w:rPr>
          <w:rFonts w:hint="eastAsia" w:ascii="宋体" w:hAnsi="宋体" w:eastAsia="宋体" w:cs="宋体"/>
          <w:color w:val="000000"/>
          <w:highlight w:val="none"/>
          <w:lang w:val="en-US" w:eastAsia="zh-CN"/>
        </w:rPr>
        <w:t xml:space="preserve">对</w:t>
      </w:r>
      <w:r>
        <w:rPr>
          <w:rFonts w:hint="eastAsia" w:ascii="宋体" w:hAnsi="宋体" w:eastAsia="宋体" w:cs="宋体"/>
          <w:sz w:val="24"/>
          <w:highlight w:val="none"/>
        </w:rPr>
        <w:t xml:space="preserve">盐城市地下管线信息化技术要求和运行管理制度制定</w:t>
      </w:r>
      <w:r>
        <w:rPr>
          <w:rFonts w:hint="eastAsia" w:ascii="宋体" w:hAnsi="宋体" w:eastAsia="宋体" w:cs="宋体"/>
          <w:sz w:val="24"/>
          <w:highlight w:val="none"/>
          <w:lang w:eastAsia="zh-CN"/>
        </w:rPr>
        <w:t xml:space="preserve">、盐城市地下管线数据治理、</w:t>
      </w:r>
      <w:r>
        <w:rPr>
          <w:rFonts w:hint="eastAsia" w:ascii="宋体" w:hAnsi="宋体" w:eastAsia="宋体" w:cs="宋体"/>
          <w:sz w:val="24"/>
          <w:highlight w:val="none"/>
        </w:rPr>
        <w:t xml:space="preserve">盐城市地下管线信息管理系统建设</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基础软硬件采购</w:t>
      </w:r>
      <w:r>
        <w:rPr>
          <w:rFonts w:hint="eastAsia" w:ascii="宋体" w:hAnsi="宋体" w:eastAsia="宋体" w:cs="宋体"/>
          <w:sz w:val="24"/>
          <w:highlight w:val="none"/>
          <w:lang w:val="en-US" w:eastAsia="zh-CN"/>
        </w:rPr>
        <w:t xml:space="preserve">等建设内容，提出完整、准确的进度安排及保障，至少</w:t>
      </w:r>
      <w:r>
        <w:rPr>
          <w:rFonts w:hint="eastAsia" w:ascii="宋体" w:hAnsi="宋体" w:eastAsia="宋体" w:cs="宋体"/>
          <w:color w:val="000000"/>
          <w:highlight w:val="none"/>
          <w:lang w:val="en-US" w:eastAsia="zh-CN"/>
        </w:rPr>
        <w:t xml:space="preserve">包含项目的实施进度安排、项目实施计划措施、培训计划、人员配置、项目风险管控、质量保证措施、运维保障措施：</w:t>
      </w:r>
      <w:r>
        <w:rPr>
          <w:rFonts w:hint="eastAsia" w:ascii="宋体" w:hAnsi="宋体" w:eastAsia="宋体" w:cs="宋体"/>
          <w:color w:val="000000"/>
          <w:highlight w:val="none"/>
          <w:lang w:val="en-US" w:eastAsia="zh-CN"/>
        </w:rPr>
      </w:r>
      <w:r/>
    </w:p>
    <w:p>
      <w:pPr>
        <w:pStyle w:val="779"/>
        <w:numPr>
          <w:ilvl w:val="0"/>
          <w:numId w:val="0"/>
        </w:numPr>
        <w:ind w:firstLine="482"/>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项目的实施进度安排</w:t>
      </w:r>
      <w:r>
        <w:rPr>
          <w:rFonts w:hint="eastAsia" w:ascii="宋体" w:hAnsi="宋体" w:eastAsia="宋体" w:cs="宋体"/>
          <w:b/>
          <w:bCs/>
          <w:color w:val="000000"/>
          <w:highlight w:val="none"/>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eastAsia="zh-CN"/>
        </w:rPr>
      </w:pPr>
      <w:r/>
      <w:bookmarkStart w:id="199" w:name="_Hlk114231166"/>
      <w:r>
        <w:rPr>
          <w:rFonts w:hint="eastAsia" w:ascii="宋体" w:hAnsi="宋体"/>
        </w:rPr>
        <w:t xml:space="preserve">本项目建设分为前期筹备阶段与项目实施阶段两个阶段。其中项目前期筹备阶段计划为1个月，项目实施阶段计划为1</w:t>
      </w:r>
      <w:r>
        <w:rPr>
          <w:rFonts w:ascii="宋体" w:hAnsi="宋体"/>
        </w:rPr>
        <w:t xml:space="preserve">1</w:t>
      </w:r>
      <w:r>
        <w:rPr>
          <w:rFonts w:hint="eastAsia" w:ascii="宋体" w:hAnsi="宋体"/>
        </w:rPr>
        <w:t xml:space="preserve">个月，项目总工期计划共计1</w:t>
      </w:r>
      <w:r>
        <w:rPr>
          <w:rFonts w:ascii="宋体" w:hAnsi="宋体"/>
        </w:rPr>
        <w:t xml:space="preserve">2</w:t>
      </w:r>
      <w:r>
        <w:rPr>
          <w:rFonts w:hint="eastAsia" w:ascii="宋体" w:hAnsi="宋体"/>
        </w:rPr>
        <w:t xml:space="preserve">个月。</w:t>
      </w:r>
      <w:bookmarkEnd w:id="199"/>
      <w:r>
        <w:rPr>
          <w:rFonts w:hint="eastAsia" w:ascii="宋体" w:hAnsi="宋体" w:eastAsia="宋体" w:cs="宋体"/>
          <w:color w:val="000000"/>
          <w:highlight w:val="none"/>
          <w:lang w:eastAsia="zh-CN"/>
        </w:rPr>
      </w:r>
      <w:r/>
    </w:p>
    <w:p>
      <w:pPr>
        <w:pStyle w:val="779"/>
        <w:numPr>
          <w:ilvl w:val="0"/>
          <w:numId w:val="13"/>
        </w:numPr>
        <w:ind w:firstLine="482"/>
        <w:jc w:val="both"/>
        <w:spacing w:beforeAutospacing="0" w:afterAutospacing="0" w:line="540" w:lineRule="exact"/>
        <w:rPr>
          <w:rFonts w:hint="eastAsia" w:ascii="宋体" w:hAnsi="宋体" w:eastAsia="宋体" w:cs="宋体"/>
          <w:b/>
          <w:bCs/>
          <w:i w:val="0"/>
          <w:iCs w:val="0"/>
          <w:color w:val="000000"/>
          <w:highlight w:val="none"/>
        </w:rPr>
      </w:pPr>
      <w:r>
        <w:rPr>
          <w:rFonts w:hint="eastAsia" w:ascii="宋体" w:hAnsi="宋体" w:eastAsia="宋体" w:cs="宋体"/>
          <w:b/>
          <w:bCs/>
          <w:i w:val="0"/>
          <w:iCs w:val="0"/>
          <w:color w:val="000000"/>
          <w:highlight w:val="none"/>
        </w:rPr>
        <w:t xml:space="preserve">项目实施计划措施</w:t>
      </w:r>
      <w:r>
        <w:rPr>
          <w:rFonts w:hint="eastAsia" w:ascii="宋体" w:hAnsi="宋体" w:eastAsia="宋体" w:cs="宋体"/>
          <w:b/>
          <w:bCs/>
          <w:i w:val="0"/>
          <w:iCs w:val="0"/>
          <w:color w:val="000000"/>
          <w:highlight w:val="none"/>
        </w:rPr>
      </w:r>
      <w:r/>
    </w:p>
    <w:p>
      <w:pPr>
        <w:pStyle w:val="779"/>
        <w:numPr>
          <w:ilvl w:val="0"/>
          <w:numId w:val="14"/>
        </w:numPr>
        <w:ind w:left="0"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项目筹备阶段</w:t>
      </w:r>
      <w:r>
        <w:rPr>
          <w:rFonts w:hint="eastAsia" w:ascii="宋体" w:hAnsi="宋体" w:eastAsia="宋体" w:cs="宋体"/>
          <w:color w:val="000000"/>
          <w:highlight w:val="none"/>
        </w:rPr>
      </w:r>
      <w:r/>
    </w:p>
    <w:p>
      <w:pPr>
        <w:pStyle w:val="779"/>
        <w:numPr>
          <w:ilvl w:val="0"/>
          <w:numId w:val="14"/>
        </w:numPr>
        <w:ind w:left="0"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初步设计方案编制</w:t>
      </w:r>
      <w:r>
        <w:rPr>
          <w:rFonts w:hint="eastAsia" w:ascii="宋体" w:hAnsi="宋体" w:eastAsia="宋体" w:cs="宋体"/>
          <w:color w:val="000000"/>
          <w:highlight w:val="none"/>
        </w:rPr>
      </w:r>
      <w:r/>
    </w:p>
    <w:p>
      <w:pPr>
        <w:pStyle w:val="779"/>
        <w:numPr>
          <w:ilvl w:val="0"/>
          <w:numId w:val="14"/>
        </w:numPr>
        <w:ind w:left="0" w:firstLine="48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系统开发、测试、部署及培训</w:t>
      </w:r>
      <w:r>
        <w:rPr>
          <w:rFonts w:hint="eastAsia" w:ascii="宋体" w:hAnsi="宋体" w:eastAsia="宋体" w:cs="宋体"/>
          <w:color w:val="000000"/>
          <w:highlight w:val="none"/>
        </w:rPr>
      </w:r>
      <w:r/>
    </w:p>
    <w:p>
      <w:pPr>
        <w:pStyle w:val="779"/>
        <w:numPr>
          <w:ilvl w:val="0"/>
          <w:numId w:val="14"/>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系统上线</w:t>
      </w:r>
      <w:r>
        <w:rPr>
          <w:rFonts w:hint="eastAsia" w:ascii="宋体" w:hAnsi="宋体" w:eastAsia="宋体" w:cs="宋体"/>
          <w:color w:val="000000"/>
          <w:highlight w:val="none"/>
          <w:lang w:eastAsia="zh-CN"/>
        </w:rPr>
      </w:r>
      <w:r/>
    </w:p>
    <w:p>
      <w:pPr>
        <w:pStyle w:val="779"/>
        <w:numPr>
          <w:ilvl w:val="0"/>
          <w:numId w:val="13"/>
        </w:numPr>
        <w:ind w:left="0" w:firstLine="482"/>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培训计划</w:t>
      </w:r>
      <w:r>
        <w:rPr>
          <w:rFonts w:hint="eastAsia" w:ascii="宋体" w:hAnsi="宋体" w:eastAsia="宋体" w:cs="宋体"/>
          <w:b/>
          <w:bCs/>
          <w:color w:val="000000"/>
          <w:highlight w:val="none"/>
        </w:rPr>
      </w:r>
      <w:r/>
    </w:p>
    <w:p>
      <w:pPr>
        <w:pStyle w:val="779"/>
        <w:numPr>
          <w:ilvl w:val="0"/>
          <w:numId w:val="0"/>
        </w:numPr>
        <w:ind w:firstLine="480"/>
        <w:jc w:val="both"/>
        <w:spacing w:beforeAutospacing="0" w:afterAutospacing="0" w:line="540" w:lineRule="exact"/>
        <w:rPr>
          <w:rFonts w:hint="eastAsia" w:ascii="宋体" w:hAnsi="宋体" w:eastAsia="宋体" w:cs="宋体"/>
          <w:color w:val="000000"/>
          <w:highlight w:val="none"/>
          <w:lang w:eastAsia="zh-CN"/>
        </w:rPr>
      </w:pPr>
      <w:r>
        <w:rPr>
          <w:rFonts w:hint="eastAsia"/>
        </w:rPr>
        <w:t xml:space="preserve">加快培养专业技术人才是提高系统建设水平、降低建设风险的有效措施。加强培训人才建设</w:t>
      </w:r>
      <w:r>
        <w:rPr>
          <w:rFonts w:hint="eastAsia" w:eastAsia="宋体"/>
          <w:lang w:eastAsia="zh-CN"/>
        </w:rPr>
        <w:t xml:space="preserve">。</w:t>
      </w:r>
      <w:r>
        <w:rPr>
          <w:rFonts w:hint="eastAsia" w:ascii="宋体" w:hAnsi="宋体" w:eastAsia="宋体" w:cs="宋体"/>
          <w:color w:val="000000"/>
          <w:highlight w:val="none"/>
          <w:lang w:eastAsia="zh-CN"/>
        </w:rPr>
      </w:r>
      <w:r/>
    </w:p>
    <w:p>
      <w:pPr>
        <w:pStyle w:val="779"/>
        <w:numPr>
          <w:ilvl w:val="0"/>
          <w:numId w:val="13"/>
        </w:numPr>
        <w:ind w:left="0" w:firstLine="482"/>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人员配置</w:t>
      </w:r>
      <w:r>
        <w:rPr>
          <w:rFonts w:hint="eastAsia" w:ascii="宋体" w:hAnsi="宋体" w:eastAsia="宋体" w:cs="宋体"/>
          <w:b/>
          <w:bCs/>
          <w:color w:val="000000"/>
          <w:highlight w:val="none"/>
        </w:rPr>
      </w:r>
      <w:r/>
    </w:p>
    <w:p>
      <w:pPr>
        <w:pStyle w:val="779"/>
        <w:numPr>
          <w:ilvl w:val="0"/>
          <w:numId w:val="0"/>
        </w:numPr>
        <w:ind w:firstLine="480"/>
        <w:jc w:val="both"/>
        <w:spacing w:beforeAutospacing="0" w:afterAutospacing="0" w:line="540" w:lineRule="exact"/>
        <w:rPr>
          <w:rFonts w:hint="eastAsia" w:ascii="宋体" w:hAnsi="宋体" w:eastAsia="Arial" w:cs="Times New Roman"/>
          <w:lang w:eastAsia="zh-CN"/>
        </w:rPr>
      </w:pPr>
      <w:r>
        <w:rPr>
          <w:rFonts w:hint="eastAsia" w:ascii="宋体" w:hAnsi="宋体" w:eastAsia="Arial" w:cs="Times New Roman"/>
        </w:rPr>
        <w:t xml:space="preserve">为保证本项目从启动之日起至维护期满止期间的项目实施及系统正常有序运行，投标人须组织具有项目实施能力的项目团队，须提供项目负责人1名，负责整个项目的策划、实施和管理，协调各方面的工作，并对项目进度、成本、质量等方面进行控制和管理；项目经理1名，全面负责整个项目的执行、对现场项目进度、质量、安全等方面进行协调和管理；技术负责人1名，负责项目的技术开发和实现，协调各个开发者的工作，保证项目技术方案的实施；团队成员</w:t>
      </w:r>
      <w:r>
        <w:rPr>
          <w:rFonts w:hint="eastAsia" w:ascii="宋体" w:hAnsi="宋体" w:eastAsia="Arial" w:cs="Times New Roman"/>
          <w:lang w:eastAsia="zh-CN"/>
        </w:rPr>
        <w:t xml:space="preserve">（不含项目负责人、项目经理、技术负责人）不低于</w:t>
      </w:r>
      <w:r>
        <w:rPr>
          <w:rFonts w:hint="eastAsia" w:ascii="宋体" w:hAnsi="宋体" w:eastAsia="Arial" w:cs="Times New Roman"/>
          <w:lang w:val="en-US" w:eastAsia="zh-CN"/>
        </w:rPr>
        <w:t xml:space="preserve">20人</w:t>
      </w:r>
      <w:r>
        <w:rPr>
          <w:rFonts w:hint="eastAsia" w:ascii="宋体" w:hAnsi="宋体" w:eastAsia="Arial" w:cs="Times New Roman"/>
        </w:rPr>
        <w:t xml:space="preserve">，负责项目的具体工作，确保项目的顺利进行。</w:t>
      </w:r>
      <w:r>
        <w:rPr>
          <w:rFonts w:hint="eastAsia" w:ascii="宋体" w:hAnsi="宋体" w:eastAsia="Arial" w:cs="Times New Roman"/>
          <w:lang w:eastAsia="zh-CN"/>
        </w:rPr>
      </w:r>
      <w:r/>
    </w:p>
    <w:p>
      <w:pPr>
        <w:pStyle w:val="779"/>
        <w:numPr>
          <w:ilvl w:val="0"/>
          <w:numId w:val="0"/>
        </w:numPr>
        <w:ind w:firstLine="482"/>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项目风险管控</w:t>
      </w:r>
      <w:r>
        <w:rPr>
          <w:rFonts w:hint="eastAsia" w:ascii="宋体" w:hAnsi="宋体" w:eastAsia="宋体" w:cs="宋体"/>
          <w:b/>
          <w:bCs/>
          <w:color w:val="000000"/>
          <w:highlight w:val="none"/>
        </w:rPr>
      </w:r>
      <w:r/>
    </w:p>
    <w:p>
      <w:pPr>
        <w:pStyle w:val="779"/>
        <w:numPr>
          <w:ilvl w:val="0"/>
          <w:numId w:val="15"/>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加强组织领导</w:t>
      </w:r>
      <w:r>
        <w:rPr>
          <w:rFonts w:hint="eastAsia" w:ascii="宋体" w:hAnsi="宋体" w:eastAsia="宋体" w:cs="宋体"/>
          <w:color w:val="000000"/>
          <w:highlight w:val="none"/>
          <w:lang w:eastAsia="zh-CN"/>
        </w:rPr>
      </w:r>
      <w:r/>
    </w:p>
    <w:p>
      <w:pPr>
        <w:pStyle w:val="779"/>
        <w:numPr>
          <w:ilvl w:val="0"/>
          <w:numId w:val="15"/>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建立管理体系，加强项目管理</w:t>
      </w:r>
      <w:r>
        <w:rPr>
          <w:rFonts w:hint="eastAsia" w:ascii="宋体" w:hAnsi="宋体" w:eastAsia="宋体" w:cs="宋体"/>
          <w:color w:val="000000"/>
          <w:highlight w:val="none"/>
          <w:lang w:eastAsia="zh-CN"/>
        </w:rPr>
      </w:r>
      <w:r/>
    </w:p>
    <w:p>
      <w:pPr>
        <w:pStyle w:val="779"/>
        <w:numPr>
          <w:ilvl w:val="0"/>
          <w:numId w:val="15"/>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信息化项目效益测评办法</w:t>
      </w:r>
      <w:r>
        <w:rPr>
          <w:rFonts w:hint="eastAsia" w:ascii="宋体" w:hAnsi="宋体" w:eastAsia="宋体" w:cs="宋体"/>
          <w:color w:val="000000"/>
          <w:highlight w:val="none"/>
          <w:lang w:eastAsia="zh-CN"/>
        </w:rPr>
      </w:r>
      <w:r/>
    </w:p>
    <w:p>
      <w:pPr>
        <w:pStyle w:val="779"/>
        <w:numPr>
          <w:ilvl w:val="0"/>
          <w:numId w:val="15"/>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健全制度建设</w:t>
      </w:r>
      <w:r>
        <w:rPr>
          <w:rFonts w:hint="eastAsia" w:ascii="宋体" w:hAnsi="宋体" w:eastAsia="宋体" w:cs="宋体"/>
          <w:color w:val="000000"/>
          <w:highlight w:val="none"/>
          <w:lang w:eastAsia="zh-CN"/>
        </w:rPr>
      </w:r>
      <w:r/>
    </w:p>
    <w:p>
      <w:pPr>
        <w:pStyle w:val="779"/>
        <w:numPr>
          <w:ilvl w:val="0"/>
          <w:numId w:val="0"/>
        </w:numPr>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6）</w:t>
      </w:r>
      <w:r>
        <w:rPr>
          <w:rFonts w:hint="eastAsia" w:ascii="宋体" w:hAnsi="宋体" w:eastAsia="宋体" w:cs="宋体"/>
          <w:b/>
          <w:bCs/>
          <w:color w:val="000000"/>
          <w:highlight w:val="none"/>
        </w:rPr>
        <w:t xml:space="preserve">质量保证措施</w:t>
      </w:r>
      <w:r>
        <w:rPr>
          <w:rFonts w:hint="eastAsia" w:ascii="宋体" w:hAnsi="宋体" w:eastAsia="宋体" w:cs="宋体"/>
          <w:b/>
          <w:bCs/>
          <w:color w:val="000000"/>
          <w:highlight w:val="none"/>
        </w:rPr>
      </w:r>
      <w:r/>
    </w:p>
    <w:p>
      <w:pPr>
        <w:pStyle w:val="779"/>
        <w:numPr>
          <w:ilvl w:val="0"/>
          <w:numId w:val="16"/>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质量保证过程措施</w:t>
      </w:r>
      <w:r>
        <w:rPr>
          <w:rFonts w:hint="eastAsia" w:ascii="宋体" w:hAnsi="宋体" w:eastAsia="宋体" w:cs="宋体"/>
          <w:color w:val="000000"/>
          <w:highlight w:val="none"/>
          <w:lang w:eastAsia="zh-CN"/>
        </w:rPr>
      </w:r>
      <w:r/>
    </w:p>
    <w:p>
      <w:pPr>
        <w:pStyle w:val="779"/>
        <w:numPr>
          <w:ilvl w:val="0"/>
          <w:numId w:val="16"/>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项目范围保障措施</w:t>
      </w:r>
      <w:r>
        <w:rPr>
          <w:rFonts w:hint="eastAsia" w:ascii="宋体" w:hAnsi="宋体" w:eastAsia="宋体" w:cs="宋体"/>
          <w:color w:val="000000"/>
          <w:highlight w:val="none"/>
          <w:lang w:eastAsia="zh-CN"/>
        </w:rPr>
      </w:r>
      <w:r/>
    </w:p>
    <w:p>
      <w:pPr>
        <w:pStyle w:val="779"/>
        <w:numPr>
          <w:ilvl w:val="0"/>
          <w:numId w:val="16"/>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项目成本保障措施</w:t>
      </w:r>
      <w:r>
        <w:rPr>
          <w:rFonts w:hint="eastAsia" w:ascii="宋体" w:hAnsi="宋体" w:eastAsia="宋体" w:cs="宋体"/>
          <w:color w:val="000000"/>
          <w:highlight w:val="none"/>
          <w:lang w:eastAsia="zh-CN"/>
        </w:rPr>
      </w:r>
      <w:r/>
    </w:p>
    <w:p>
      <w:pPr>
        <w:pStyle w:val="779"/>
        <w:numPr>
          <w:ilvl w:val="0"/>
          <w:numId w:val="16"/>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项目人力保障措施</w:t>
      </w:r>
      <w:r>
        <w:rPr>
          <w:rFonts w:hint="eastAsia" w:ascii="宋体" w:hAnsi="宋体" w:eastAsia="宋体" w:cs="宋体"/>
          <w:color w:val="000000"/>
          <w:highlight w:val="none"/>
          <w:lang w:eastAsia="zh-CN"/>
        </w:rPr>
      </w:r>
      <w:r/>
    </w:p>
    <w:p>
      <w:pPr>
        <w:pStyle w:val="779"/>
        <w:numPr>
          <w:ilvl w:val="0"/>
          <w:numId w:val="16"/>
        </w:numPr>
        <w:ind w:left="0" w:firstLine="480"/>
        <w:jc w:val="both"/>
        <w:spacing w:beforeAutospacing="0" w:afterAutospacing="0" w:line="5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项目沟通管理措施</w:t>
      </w:r>
      <w:r>
        <w:rPr>
          <w:rFonts w:hint="eastAsia" w:ascii="宋体" w:hAnsi="宋体" w:eastAsia="宋体" w:cs="宋体"/>
          <w:color w:val="000000"/>
          <w:highlight w:val="none"/>
          <w:lang w:eastAsia="zh-CN"/>
        </w:rPr>
      </w:r>
      <w:r/>
    </w:p>
    <w:p>
      <w:pPr>
        <w:pStyle w:val="779"/>
        <w:numPr>
          <w:ilvl w:val="0"/>
          <w:numId w:val="0"/>
        </w:numPr>
        <w:jc w:val="both"/>
        <w:spacing w:beforeAutospacing="0" w:afterAutospacing="0" w:line="5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rPr>
        <w:t xml:space="preserve">运维保障措施</w:t>
      </w:r>
      <w:r>
        <w:rPr>
          <w:rFonts w:hint="eastAsia" w:ascii="宋体" w:hAnsi="宋体" w:eastAsia="宋体" w:cs="宋体"/>
          <w:b/>
          <w:bCs/>
          <w:color w:val="000000"/>
          <w:highlight w:val="none"/>
        </w:rPr>
      </w:r>
      <w:r/>
    </w:p>
    <w:p>
      <w:pPr>
        <w:pStyle w:val="779"/>
        <w:numPr>
          <w:ilvl w:val="0"/>
          <w:numId w:val="0"/>
        </w:numPr>
        <w:ind w:left="0" w:firstLine="420"/>
        <w:jc w:val="both"/>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可靠的运维工作是系统实现建设目标、发挥效用的重要保障，为了避免“重建设、轻运维”的弊端，应建设项目运维体系，为此应成立由主管领导为组长的运维领导小组，以建设单位和项目招标确定的承建单位共同组成运行维护机构，主要负责项目后期的业务培训、日常运维、数据服务工作。</w:t>
      </w:r>
      <w:r>
        <w:rPr>
          <w:rFonts w:hint="eastAsia" w:ascii="宋体" w:hAnsi="宋体" w:eastAsia="宋体" w:cs="宋体"/>
          <w:color w:val="000000"/>
          <w:highlight w:val="none"/>
        </w:rPr>
      </w:r>
      <w:r/>
    </w:p>
    <w:p>
      <w:pPr>
        <w:pStyle w:val="737"/>
        <w:spacing w:line="540" w:lineRule="exact"/>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十一、特别说明</w:t>
      </w:r>
      <w:r>
        <w:rPr>
          <w:rFonts w:hint="eastAsia" w:ascii="宋体" w:hAnsi="宋体" w:eastAsia="宋体" w:cs="宋体"/>
          <w:b/>
          <w:sz w:val="24"/>
          <w:highlight w:val="none"/>
          <w:lang w:val="en-US" w:eastAsia="zh-CN"/>
        </w:rPr>
      </w:r>
      <w:r/>
    </w:p>
    <w:p>
      <w:pPr>
        <w:pStyle w:val="779"/>
        <w:numPr>
          <w:ilvl w:val="0"/>
          <w:numId w:val="0"/>
        </w:numPr>
        <w:ind w:firstLine="480"/>
        <w:jc w:val="both"/>
        <w:keepLines w:val="0"/>
        <w:keepNext w:val="0"/>
        <w:pageBreakBefore w:val="0"/>
        <w:spacing w:beforeAutospacing="0" w:afterAutospacing="0" w:line="480" w:lineRule="exact"/>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项目实施期间及维护期间，采购方有权调整功能模块的具体功能要求、接口要求等内容，采购方有权要求部分功能或模块提前实施并上线及要求投标人提供上线所需配套服务，采购方不另行增加费用。</w:t>
      </w:r>
      <w:r>
        <w:rPr>
          <w:rFonts w:ascii="宋体" w:hAnsi="宋体" w:eastAsia="宋体" w:cs="宋体"/>
          <w:color w:val="000000"/>
          <w:highlight w:val="none"/>
          <w:lang w:val="en-US" w:eastAsia="zh-CN"/>
        </w:rPr>
      </w:r>
      <w:r/>
    </w:p>
    <w:p>
      <w:pPr>
        <w:pStyle w:val="779"/>
        <w:ind w:firstLine="513"/>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本项目不接受进口产品投标。</w:t>
      </w:r>
      <w:r>
        <w:rPr>
          <w:rFonts w:hint="eastAsia" w:ascii="宋体" w:hAnsi="宋体" w:eastAsia="宋体" w:cs="宋体"/>
          <w:highlight w:val="none"/>
        </w:rPr>
      </w:r>
      <w:r/>
    </w:p>
    <w:p>
      <w:pPr>
        <w:pStyle w:val="779"/>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采购标的对应的中小企业划分标准所属行业一览表</w:t>
      </w:r>
      <w:r>
        <w:rPr>
          <w:highlight w:val="none"/>
        </w:rPr>
      </w:r>
      <w:r/>
    </w:p>
    <w:tbl>
      <w:tblPr>
        <w:tblW w:w="0" w:type="auto"/>
        <w:jc w:val="center"/>
        <w:tblCellSpacing w:w="0" w:type="dxa"/>
        <w:tblInd w:w="-476" w:type="dxa"/>
        <w:tblLayout w:type="fixed"/>
        <w:tblCellMar>
          <w:left w:w="108" w:type="dxa"/>
          <w:top w:w="0" w:type="dxa"/>
          <w:right w:w="108" w:type="dxa"/>
          <w:bottom w:w="0" w:type="dxa"/>
        </w:tblCellMar>
        <w:tblLook w:val="04A0" w:firstRow="1" w:lastRow="0" w:firstColumn="1" w:lastColumn="0" w:noHBand="0" w:noVBand="1"/>
      </w:tblPr>
      <w:tblGrid>
        <w:gridCol w:w="903"/>
        <w:gridCol w:w="3291"/>
        <w:gridCol w:w="3709"/>
      </w:tblGrid>
      <w:tr>
        <w:trPr>
          <w:tblCellSpacing w:w="0" w:type="dxa"/>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779"/>
              <w:jc w:val="center"/>
              <w:spacing w:beforeAutospacing="0" w:afterAutospacing="0" w:line="0" w:lineRule="atLeast"/>
              <w:rPr>
                <w:highlight w:val="none"/>
              </w:rPr>
            </w:pPr>
            <w:r>
              <w:rPr>
                <w:rFonts w:hint="eastAsia" w:ascii="宋体" w:hAnsi="宋体" w:eastAsia="宋体" w:cs="宋体"/>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79"/>
              <w:jc w:val="center"/>
              <w:spacing w:beforeAutospacing="0" w:afterAutospacing="0" w:line="0" w:lineRule="atLeast"/>
              <w:rPr>
                <w:highlight w:val="none"/>
              </w:rPr>
            </w:pPr>
            <w:r>
              <w:rPr>
                <w:rFonts w:hint="eastAsia" w:ascii="宋体" w:hAnsi="宋体" w:eastAsia="宋体" w:cs="宋体"/>
                <w:highlight w:val="none"/>
              </w:rPr>
              <w:t xml:space="preserve">采购标的</w:t>
            </w:r>
            <w:r>
              <w:rPr>
                <w:highlight w:val="none"/>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779"/>
              <w:jc w:val="center"/>
              <w:spacing w:beforeAutospacing="0" w:afterAutospacing="0" w:line="0" w:lineRule="atLeast"/>
              <w:rPr>
                <w:highlight w:val="none"/>
              </w:rPr>
            </w:pPr>
            <w:r>
              <w:rPr>
                <w:rFonts w:hint="eastAsia" w:ascii="宋体" w:hAnsi="宋体" w:eastAsia="宋体" w:cs="宋体"/>
                <w:highlight w:val="none"/>
              </w:rPr>
              <w:t xml:space="preserve">对应中小企业划分标准所属行业</w:t>
            </w:r>
            <w:r>
              <w:rPr>
                <w:highlight w:val="none"/>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779"/>
              <w:jc w:val="center"/>
              <w:spacing w:beforeAutospacing="0" w:afterAutospacing="0" w:line="0" w:lineRule="atLeast"/>
              <w:rPr>
                <w:highlight w:val="none"/>
              </w:rPr>
            </w:pPr>
            <w:r>
              <w:rPr>
                <w:rFonts w:hint="eastAsia" w:ascii="宋体" w:hAnsi="宋体" w:eastAsia="宋体" w:cs="宋体"/>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79"/>
              <w:jc w:val="center"/>
              <w:spacing w:beforeAutospacing="0" w:afterAutospacing="0" w:line="0" w:lineRule="atLeast"/>
              <w:rPr>
                <w:rFonts w:hint="eastAsia" w:eastAsia="宋体"/>
                <w:highlight w:val="none"/>
              </w:rPr>
            </w:pPr>
            <w:r>
              <w:rPr>
                <w:rFonts w:hint="eastAsia" w:eastAsia="宋体"/>
                <w:highlight w:val="none"/>
              </w:rPr>
              <w:t xml:space="preserve">盐城市区地下管线信息管理系统升级及数据治理采集项目</w:t>
            </w:r>
            <w:r>
              <w:rPr>
                <w:rFonts w:hint="eastAsia" w:eastAsia="宋体"/>
                <w:highlight w:val="none"/>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779"/>
              <w:jc w:val="center"/>
              <w:spacing w:beforeAutospacing="0" w:afterAutospacing="0" w:line="0" w:lineRule="atLeast"/>
              <w:rPr>
                <w:rFonts w:eastAsia="宋体"/>
                <w:highlight w:val="none"/>
              </w:rPr>
            </w:pPr>
            <w:r>
              <w:rPr>
                <w:rFonts w:hint="eastAsia" w:ascii="宋体" w:hAnsi="宋体" w:eastAsia="Arial" w:cs="宋体"/>
                <w:color w:val="000000"/>
                <w:sz w:val="24"/>
                <w:szCs w:val="20"/>
                <w:highlight w:val="none"/>
              </w:rPr>
              <w:t xml:space="preserve">软件和信息技术服务业</w:t>
            </w:r>
            <w:r>
              <w:rPr>
                <w:rFonts w:eastAsia="宋体"/>
                <w:highlight w:val="none"/>
              </w:rPr>
            </w:r>
            <w:r/>
          </w:p>
        </w:tc>
      </w:tr>
    </w:tbl>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44"/>
          <w:szCs w:val="44"/>
          <w:highlight w:val="none"/>
          <w:vertAlign w:val="baseline"/>
        </w:rPr>
        <w:suppressLineNumbers w:val="0"/>
      </w:pPr>
      <w:r>
        <w:rPr>
          <w:rFonts w:hint="eastAsia" w:ascii="宋体" w:hAnsi="宋体" w:eastAsia="宋体" w:cs="宋体"/>
          <w:b/>
          <w:bCs/>
          <w:i w:val="0"/>
          <w:iCs w:val="0"/>
          <w:color w:val="000000"/>
          <w:spacing w:val="0"/>
          <w:sz w:val="44"/>
          <w:szCs w:val="44"/>
          <w:highlight w:val="none"/>
          <w:vertAlign w:val="baseline"/>
        </w:rPr>
      </w:r>
      <w:r/>
    </w:p>
    <w:p>
      <w:pPr>
        <w:pStyle w:val="779"/>
        <w:ind w:left="0" w:right="0"/>
        <w:jc w:val="center"/>
        <w:keepLines w:val="0"/>
        <w:keepNext w:val="0"/>
        <w:spacing w:before="0" w:beforeAutospacing="0" w:after="0" w:afterAutospacing="0"/>
        <w:widowControl/>
        <w:rPr>
          <w:highlight w:val="none"/>
        </w:rPr>
        <w:suppressLineNumbers w:val="0"/>
      </w:pPr>
      <w:r>
        <w:rPr>
          <w:rFonts w:hint="eastAsia" w:ascii="宋体" w:hAnsi="宋体" w:eastAsia="宋体" w:cs="宋体"/>
          <w:b/>
          <w:bCs/>
          <w:i w:val="0"/>
          <w:iCs w:val="0"/>
          <w:color w:val="000000"/>
          <w:spacing w:val="0"/>
          <w:sz w:val="44"/>
          <w:szCs w:val="44"/>
          <w:highlight w:val="none"/>
          <w:vertAlign w:val="baseline"/>
        </w:rPr>
        <w:br w:type="page" w:clear="all"/>
      </w:r>
      <w:r>
        <w:rPr>
          <w:rFonts w:hint="eastAsia" w:ascii="宋体" w:hAnsi="宋体" w:eastAsia="宋体" w:cs="宋体"/>
          <w:b/>
          <w:bCs/>
          <w:i w:val="0"/>
          <w:iCs w:val="0"/>
          <w:color w:val="000000"/>
          <w:spacing w:val="0"/>
          <w:sz w:val="44"/>
          <w:szCs w:val="44"/>
          <w:highlight w:val="none"/>
          <w:vertAlign w:val="baseline"/>
        </w:rPr>
        <w:t xml:space="preserve">第五章</w:t>
      </w:r>
      <w:r>
        <w:rPr>
          <w:rFonts w:hint="eastAsia" w:ascii="宋体" w:hAnsi="宋体" w:eastAsia="宋体" w:cs="宋体"/>
          <w:b w:val="0"/>
          <w:bCs w:val="0"/>
          <w:i w:val="0"/>
          <w:iCs w:val="0"/>
          <w:color w:val="000000"/>
          <w:spacing w:val="0"/>
          <w:sz w:val="44"/>
          <w:szCs w:val="44"/>
          <w:highlight w:val="none"/>
          <w:vertAlign w:val="baseline"/>
        </w:rPr>
        <w:t xml:space="preserve">  </w:t>
      </w:r>
      <w:r>
        <w:rPr>
          <w:rFonts w:hint="eastAsia" w:ascii="宋体" w:hAnsi="宋体" w:eastAsia="宋体" w:cs="宋体"/>
          <w:b/>
          <w:bCs/>
          <w:i w:val="0"/>
          <w:iCs w:val="0"/>
          <w:color w:val="000000"/>
          <w:spacing w:val="0"/>
          <w:sz w:val="44"/>
          <w:szCs w:val="44"/>
          <w:highlight w:val="none"/>
          <w:vertAlign w:val="baseline"/>
        </w:rPr>
        <w:t xml:space="preserve">评标方法与评标标准</w:t>
      </w:r>
      <w:r>
        <w:rPr>
          <w:highlight w:val="none"/>
        </w:rPr>
      </w:r>
      <w:r/>
    </w:p>
    <w:p>
      <w:pPr>
        <w:pStyle w:val="779"/>
        <w:ind w:left="0" w:right="0" w:firstLine="360"/>
        <w:jc w:val="left"/>
        <w:keepLines w:val="0"/>
        <w:keepNext w:val="0"/>
        <w:spacing w:before="120" w:beforeAutospacing="0" w:after="120" w:afterAutospacing="0" w:line="460" w:lineRule="exact"/>
        <w:widowControl/>
        <w:rPr>
          <w:rFonts w:hint="eastAsia" w:ascii="宋体" w:hAnsi="宋体" w:cs="宋体"/>
          <w:color w:val="000000"/>
          <w:spacing w:val="-6"/>
          <w:szCs w:val="21"/>
        </w:rPr>
        <w:suppressLineNumbers w:val="0"/>
      </w:pPr>
      <w:r>
        <w:rPr>
          <w:rFonts w:hint="eastAsia" w:ascii="宋体" w:hAnsi="宋体" w:eastAsia="宋体" w:cs="宋体"/>
          <w:b w:val="0"/>
          <w:bCs w:val="0"/>
          <w:i w:val="0"/>
          <w:iCs w:val="0"/>
          <w:color w:val="000000"/>
          <w:spacing w:val="0"/>
          <w:sz w:val="24"/>
          <w:szCs w:val="24"/>
          <w:highlight w:val="none"/>
          <w:vertAlign w:val="baseline"/>
          <w:lang w:val="en-US" w:eastAsia="zh-CN" w:bidi="ar-SA"/>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cs="宋体"/>
          <w:color w:val="000000"/>
          <w:spacing w:val="-6"/>
          <w:szCs w:val="21"/>
        </w:rPr>
      </w:r>
      <w:r/>
    </w:p>
    <w:p>
      <w:pPr>
        <w:pStyle w:val="779"/>
        <w:ind w:left="0" w:right="0" w:firstLine="480"/>
        <w:jc w:val="both"/>
        <w:keepLines w:val="0"/>
        <w:keepNext w:val="0"/>
        <w:spacing w:before="0" w:beforeAutospacing="0" w:after="0" w:afterAutospacing="0" w:line="460" w:lineRule="exac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政府采购政策功能落实</w:t>
      </w:r>
      <w:r>
        <w:rPr>
          <w:highlight w:val="none"/>
        </w:rPr>
      </w:r>
      <w:r/>
    </w:p>
    <w:p>
      <w:pPr>
        <w:pStyle w:val="779"/>
        <w:ind w:left="0" w:right="0" w:firstLine="48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1、小微型企业价格扣除</w:t>
      </w:r>
      <w:r>
        <w:rPr>
          <w:highlight w:val="none"/>
        </w:rPr>
      </w:r>
      <w:r/>
    </w:p>
    <w:p>
      <w:pPr>
        <w:pStyle w:val="779"/>
        <w:ind w:left="0" w:right="0" w:firstLine="36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（1）本项目对小型和微型企业提供的服务给予</w:t>
      </w:r>
      <w:r>
        <w:rPr>
          <w:rFonts w:hint="eastAsia" w:ascii="宋体" w:hAnsi="宋体" w:eastAsia="宋体" w:cs="宋体"/>
          <w:b w:val="0"/>
          <w:bCs w:val="0"/>
          <w:i w:val="0"/>
          <w:iCs w:val="0"/>
          <w:color w:val="000000"/>
          <w:spacing w:val="0"/>
          <w:sz w:val="24"/>
          <w:szCs w:val="24"/>
          <w:highlight w:val="none"/>
          <w:u w:val="single"/>
          <w:vertAlign w:val="baseline"/>
        </w:rPr>
        <w:t xml:space="preserve">20%</w:t>
      </w:r>
      <w:r>
        <w:rPr>
          <w:rFonts w:hint="eastAsia" w:ascii="宋体" w:hAnsi="宋体" w:eastAsia="宋体" w:cs="宋体"/>
          <w:b w:val="0"/>
          <w:bCs w:val="0"/>
          <w:i w:val="0"/>
          <w:iCs w:val="0"/>
          <w:color w:val="000000"/>
          <w:spacing w:val="0"/>
          <w:sz w:val="24"/>
          <w:szCs w:val="24"/>
          <w:highlight w:val="none"/>
          <w:vertAlign w:val="baseline"/>
        </w:rPr>
        <w:t xml:space="preserve">的扣除价格，用扣除后的价格参与评审。</w:t>
      </w:r>
      <w:r>
        <w:rPr>
          <w:highlight w:val="none"/>
        </w:rPr>
      </w:r>
      <w:r/>
    </w:p>
    <w:p>
      <w:pPr>
        <w:pStyle w:val="779"/>
        <w:ind w:left="0" w:right="0" w:firstLine="36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（2）供应商需按照采购文件的要求提供相应的《中小企业声明函》。</w:t>
      </w:r>
      <w:r>
        <w:rPr>
          <w:highlight w:val="none"/>
        </w:rPr>
      </w:r>
      <w:r/>
    </w:p>
    <w:p>
      <w:pPr>
        <w:pStyle w:val="779"/>
        <w:ind w:left="0" w:right="0" w:firstLine="36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（3）企业标准请参照《关于印发中小企业划型标准规定的通知》（工信部联企业[2011]300号）文件规定自行填写。</w:t>
      </w:r>
      <w:r>
        <w:rPr>
          <w:highlight w:val="none"/>
        </w:rPr>
      </w:r>
      <w:r/>
    </w:p>
    <w:p>
      <w:pPr>
        <w:pStyle w:val="779"/>
        <w:ind w:left="0" w:right="0" w:firstLine="48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2、残疾人福利单位价格扣除</w:t>
      </w:r>
      <w:r>
        <w:rPr>
          <w:highlight w:val="none"/>
        </w:rPr>
      </w:r>
      <w:r/>
    </w:p>
    <w:p>
      <w:pPr>
        <w:pStyle w:val="779"/>
        <w:ind w:left="120" w:right="0" w:firstLine="36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（1）本项目对残疾人福利性单位视同小型、微型企业，给予</w:t>
      </w:r>
      <w:r>
        <w:rPr>
          <w:rFonts w:hint="eastAsia" w:ascii="宋体" w:hAnsi="宋体" w:eastAsia="宋体" w:cs="宋体"/>
          <w:b w:val="0"/>
          <w:bCs w:val="0"/>
          <w:i w:val="0"/>
          <w:iCs w:val="0"/>
          <w:color w:val="000000"/>
          <w:spacing w:val="0"/>
          <w:sz w:val="24"/>
          <w:szCs w:val="24"/>
          <w:highlight w:val="none"/>
          <w:u w:val="single"/>
          <w:vertAlign w:val="baseline"/>
        </w:rPr>
        <w:t xml:space="preserve">20%的价格扣除。</w:t>
      </w:r>
      <w:r>
        <w:rPr>
          <w:highlight w:val="none"/>
        </w:rPr>
      </w:r>
      <w:r/>
    </w:p>
    <w:p>
      <w:pPr>
        <w:pStyle w:val="779"/>
        <w:ind w:left="120" w:right="0" w:firstLine="36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（2）残疾人福利单位需按照采购文件的要求提供《残疾人福利性单位声明函》。</w:t>
      </w:r>
      <w:r>
        <w:rPr>
          <w:highlight w:val="none"/>
        </w:rPr>
      </w:r>
      <w:r/>
    </w:p>
    <w:p>
      <w:pPr>
        <w:pStyle w:val="779"/>
        <w:ind w:left="120" w:right="0" w:firstLine="36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（3）残疾人福利单位标准请参照《关于促进残疾人就业政府采购政策的通知》（财库〔2017〕141号）。</w:t>
      </w:r>
      <w:r>
        <w:rPr>
          <w:highlight w:val="none"/>
        </w:rPr>
      </w:r>
      <w:r/>
    </w:p>
    <w:p>
      <w:pPr>
        <w:pStyle w:val="779"/>
        <w:ind w:left="0" w:right="0" w:firstLine="48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3、监狱和戒毒企业价格扣除</w:t>
      </w:r>
      <w:r>
        <w:rPr>
          <w:highlight w:val="none"/>
        </w:rPr>
      </w:r>
      <w:r/>
    </w:p>
    <w:p>
      <w:pPr>
        <w:pStyle w:val="779"/>
        <w:ind w:left="120" w:right="0" w:firstLine="36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（1）本项目对监狱和戒毒企业（简称监狱企业）视同小型、微型企业，给予</w:t>
      </w:r>
      <w:r>
        <w:rPr>
          <w:rFonts w:hint="eastAsia" w:ascii="宋体" w:hAnsi="宋体" w:eastAsia="宋体" w:cs="宋体"/>
          <w:b w:val="0"/>
          <w:bCs w:val="0"/>
          <w:i w:val="0"/>
          <w:iCs w:val="0"/>
          <w:color w:val="000000"/>
          <w:spacing w:val="0"/>
          <w:sz w:val="24"/>
          <w:szCs w:val="24"/>
          <w:highlight w:val="none"/>
          <w:u w:val="single"/>
          <w:vertAlign w:val="baseline"/>
        </w:rPr>
        <w:t xml:space="preserve">20%的价格扣除。</w:t>
      </w:r>
      <w:r>
        <w:rPr>
          <w:highlight w:val="none"/>
        </w:rPr>
      </w:r>
      <w:r/>
    </w:p>
    <w:p>
      <w:pPr>
        <w:pStyle w:val="779"/>
        <w:ind w:left="0" w:right="0" w:firstLine="48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pStyle w:val="779"/>
        <w:ind w:left="0" w:right="0" w:firstLine="48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（3）监狱企业标准请参照《关于政府采购支持监狱企业发展有关问题的通知》（财库[2014]68号）。</w:t>
      </w:r>
      <w:r>
        <w:rPr>
          <w:highlight w:val="none"/>
        </w:rPr>
      </w:r>
      <w:r/>
    </w:p>
    <w:p>
      <w:pPr>
        <w:pStyle w:val="779"/>
        <w:ind w:left="0" w:right="0" w:firstLine="48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4、残疾人福利单位、监狱企业属于小型、微型企业的，不重复享受政策。</w:t>
      </w:r>
      <w:r>
        <w:rPr>
          <w:highlight w:val="none"/>
        </w:rPr>
      </w:r>
      <w:r/>
    </w:p>
    <w:p>
      <w:pPr>
        <w:pStyle w:val="779"/>
        <w:ind w:left="0" w:right="0" w:firstLine="48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b w:val="0"/>
          <w:bCs w:val="0"/>
          <w:i w:val="0"/>
          <w:iCs w:val="0"/>
          <w:color w:val="000000"/>
          <w:spacing w:val="0"/>
          <w:sz w:val="24"/>
          <w:szCs w:val="24"/>
          <w:highlight w:val="none"/>
          <w:u w:val="single"/>
          <w:vertAlign w:val="baseline"/>
        </w:rPr>
        <w:t xml:space="preserve">6%</w:t>
      </w:r>
      <w:r>
        <w:rPr>
          <w:rFonts w:hint="eastAsia" w:ascii="宋体" w:hAnsi="宋体" w:eastAsia="宋体" w:cs="宋体"/>
          <w:b w:val="0"/>
          <w:bCs w:val="0"/>
          <w:i w:val="0"/>
          <w:iCs w:val="0"/>
          <w:color w:val="000000"/>
          <w:spacing w:val="0"/>
          <w:sz w:val="24"/>
          <w:szCs w:val="24"/>
          <w:highlight w:val="none"/>
          <w:vertAlign w:val="baseline"/>
        </w:rPr>
        <w:t xml:space="preserve">的价格扣除，用扣除后的价格参与评审。</w:t>
      </w:r>
      <w:r>
        <w:rPr>
          <w:highlight w:val="none"/>
        </w:rPr>
      </w:r>
      <w:r/>
    </w:p>
    <w:p>
      <w:pPr>
        <w:pStyle w:val="779"/>
        <w:ind w:left="120" w:right="0" w:firstLine="360"/>
        <w:jc w:val="left"/>
        <w:keepLines w:val="0"/>
        <w:keepNext w:val="0"/>
        <w:spacing w:before="120" w:beforeAutospacing="0" w:after="12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6、联合体各方均为小型、微型企业（残疾人福利单位、监狱企业）的，联合体享受</w:t>
      </w:r>
      <w:r>
        <w:rPr>
          <w:rFonts w:hint="eastAsia" w:ascii="宋体" w:hAnsi="宋体" w:eastAsia="宋体" w:cs="宋体"/>
          <w:b w:val="0"/>
          <w:bCs w:val="0"/>
          <w:i w:val="0"/>
          <w:iCs w:val="0"/>
          <w:color w:val="000000"/>
          <w:spacing w:val="0"/>
          <w:sz w:val="24"/>
          <w:szCs w:val="24"/>
          <w:highlight w:val="none"/>
          <w:u w:val="single"/>
          <w:vertAlign w:val="baseline"/>
        </w:rPr>
        <w:t xml:space="preserve">20%的价格扣除。</w:t>
      </w:r>
      <w:r>
        <w:rPr>
          <w:highlight w:val="none"/>
        </w:rPr>
      </w:r>
      <w:r/>
    </w:p>
    <w:p>
      <w:pPr>
        <w:pStyle w:val="779"/>
        <w:ind w:left="0" w:right="0" w:firstLine="480"/>
        <w:jc w:val="both"/>
        <w:keepLines w:val="0"/>
        <w:keepNext w:val="0"/>
        <w:spacing w:before="0" w:beforeAutospacing="0" w:after="0" w:afterAutospacing="0" w:line="460" w:lineRule="exact"/>
        <w:widowControl/>
        <w:rPr>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pacing w:val="0"/>
          <w:sz w:val="24"/>
          <w:szCs w:val="24"/>
          <w:highlight w:val="none"/>
          <w:vertAlign w:val="baseline"/>
        </w:rPr>
        <w:t xml:space="preserve">如属政府强制采购产品未提供认证证书的或认证证书提供不全的将视为未实质性响应采购要求</w:t>
      </w:r>
      <w:r>
        <w:rPr>
          <w:rFonts w:hint="eastAsia" w:ascii="宋体" w:hAnsi="宋体" w:eastAsia="宋体" w:cs="宋体"/>
          <w:b w:val="0"/>
          <w:bCs w:val="0"/>
          <w:i/>
          <w:iCs/>
          <w:color w:val="000000"/>
          <w:spacing w:val="0"/>
          <w:sz w:val="24"/>
          <w:szCs w:val="24"/>
          <w:highlight w:val="none"/>
          <w:vertAlign w:val="baseline"/>
        </w:rPr>
        <w:t xml:space="preserve">。</w:t>
      </w:r>
      <w:r>
        <w:rPr>
          <w:rFonts w:hint="eastAsia" w:ascii="宋体" w:hAnsi="宋体" w:eastAsia="宋体" w:cs="宋体"/>
          <w:b w:val="0"/>
          <w:bCs w:val="0"/>
          <w:i w:val="0"/>
          <w:iCs w:val="0"/>
          <w:color w:val="000000"/>
          <w:spacing w:val="0"/>
          <w:sz w:val="24"/>
          <w:szCs w:val="24"/>
          <w:highlight w:val="none"/>
          <w:vertAlign w:val="baseline"/>
        </w:rPr>
        <w:t xml:space="preserve">其他条件相同情况下，应当优先采购节能产品、环境标志产品。</w:t>
      </w:r>
      <w:r>
        <w:rPr>
          <w:highlight w:val="none"/>
        </w:rPr>
      </w:r>
      <w:r/>
    </w:p>
    <w:p>
      <w:pPr>
        <w:pStyle w:val="779"/>
        <w:ind w:left="480" w:right="0"/>
        <w:jc w:val="both"/>
        <w:keepLines w:val="0"/>
        <w:keepNext w:val="0"/>
        <w:spacing w:before="0" w:beforeAutospacing="0" w:after="0" w:afterAutospacing="0" w:line="460" w:lineRule="exact"/>
        <w:widowControl/>
        <w:rPr>
          <w:highlight w:val="none"/>
        </w:rPr>
        <w:suppressLineNumbers w:val="0"/>
      </w:pPr>
      <w:r>
        <w:rPr>
          <w:rFonts w:ascii="Arial" w:hAnsi="Arial" w:cs="Arial"/>
          <w:b/>
          <w:bCs/>
          <w:i w:val="0"/>
          <w:iCs w:val="0"/>
          <w:color w:val="000000"/>
          <w:spacing w:val="0"/>
          <w:sz w:val="24"/>
          <w:szCs w:val="24"/>
          <w:highlight w:val="none"/>
          <w:vertAlign w:val="baseline"/>
        </w:rPr>
        <w:t xml:space="preserve">二、评标标准</w:t>
      </w:r>
      <w:r>
        <w:rPr>
          <w:highlight w:val="none"/>
        </w:rPr>
      </w:r>
      <w:r/>
    </w:p>
    <w:p>
      <w:pPr>
        <w:pStyle w:val="779"/>
        <w:ind w:left="0" w:right="0" w:firstLine="420"/>
        <w:jc w:val="both"/>
        <w:keepLines w:val="0"/>
        <w:keepNext w:val="0"/>
        <w:spacing w:before="0" w:beforeAutospacing="0" w:after="0" w:afterAutospacing="0" w:line="460" w:lineRule="exact"/>
        <w:widowControl/>
        <w:rPr>
          <w:highlight w:val="none"/>
        </w:rPr>
        <w:suppressLineNumbers w:val="0"/>
      </w:pPr>
      <w:r>
        <w:rPr>
          <w:rFonts w:ascii="Arial" w:hAnsi="Arial" w:cs="Arial"/>
          <w:b/>
          <w:bCs/>
          <w:i w:val="0"/>
          <w:iCs w:val="0"/>
          <w:color w:val="000000"/>
          <w:spacing w:val="0"/>
          <w:sz w:val="24"/>
          <w:szCs w:val="24"/>
          <w:highlight w:val="none"/>
          <w:vertAlign w:val="baseline"/>
        </w:rPr>
        <w:t xml:space="preserve">评分总分值为100分。</w:t>
      </w:r>
      <w:r>
        <w:rPr>
          <w:highlight w:val="none"/>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6"/>
      </w:tblGrid>
      <w:tr>
        <w:trPr>
          <w:trHeight w:val="90"/>
        </w:trPr>
        <w:tc>
          <w:tcPr>
            <w:tcMar>
              <w:left w:w="108" w:type="dxa"/>
              <w:top w:w="0" w:type="dxa"/>
              <w:right w:w="108" w:type="dxa"/>
              <w:bottom w:w="0" w:type="dxa"/>
            </w:tcMar>
            <w:tcW w:w="8286" w:type="dxa"/>
            <w:vAlign w:val="center"/>
            <w:textDirection w:val="lrTb"/>
            <w:noWrap w:val="false"/>
          </w:tcPr>
          <w:p>
            <w:pPr>
              <w:pStyle w:val="779"/>
              <w:ind w:left="0" w:right="0"/>
              <w:jc w:val="center"/>
              <w:keepLines w:val="0"/>
              <w:keepNext w:val="0"/>
              <w:spacing w:before="0" w:beforeAutospacing="0" w:after="0" w:afterAutospacing="0" w:line="85" w:lineRule="atLeas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评审内容</w:t>
            </w:r>
            <w:r>
              <w:rPr>
                <w:highlight w:val="none"/>
              </w:rPr>
            </w:r>
            <w:r/>
          </w:p>
        </w:tc>
      </w:tr>
      <w:tr>
        <w:trPr>
          <w:trHeight w:val="514"/>
        </w:trPr>
        <w:tc>
          <w:tcPr>
            <w:tcMar>
              <w:left w:w="108" w:type="dxa"/>
              <w:top w:w="0" w:type="dxa"/>
              <w:right w:w="108" w:type="dxa"/>
              <w:bottom w:w="0" w:type="dxa"/>
            </w:tcMar>
            <w:tcW w:w="8286" w:type="dxa"/>
            <w:vAlign w:val="center"/>
            <w:textDirection w:val="lrTb"/>
            <w:noWrap w:val="false"/>
          </w:tcPr>
          <w:p>
            <w:pPr>
              <w:pStyle w:val="779"/>
              <w:ind w:left="0" w:right="0"/>
              <w:jc w:val="both"/>
              <w:keepLines w:val="0"/>
              <w:keepNext w:val="0"/>
              <w:spacing w:before="0" w:beforeAutospacing="0" w:after="0" w:afterAutospacing="0" w:line="400" w:lineRule="atLeas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一、投标报价（10分）</w:t>
            </w:r>
            <w:r>
              <w:rPr>
                <w:highlight w:val="none"/>
              </w:rPr>
            </w:r>
            <w:r/>
          </w:p>
        </w:tc>
      </w:tr>
      <w:tr>
        <w:trPr>
          <w:trHeight w:val="1234"/>
        </w:trPr>
        <w:tc>
          <w:tcPr>
            <w:tcMar>
              <w:left w:w="108" w:type="dxa"/>
              <w:top w:w="0" w:type="dxa"/>
              <w:right w:w="108" w:type="dxa"/>
              <w:bottom w:w="0" w:type="dxa"/>
            </w:tcMar>
            <w:tcW w:w="8286" w:type="dxa"/>
            <w:vAlign w:val="center"/>
            <w:textDirection w:val="lrTb"/>
            <w:noWrap w:val="false"/>
          </w:tcPr>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满足招标文件要求且投标价格最低的投标报价为评标基准价，其价格分为满分。其他投标人的价格分统一按照下列公式计算：</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投标报价得分=(评标基准价／投标报价)×10（该结果四舍五入，保留两位小数）</w:t>
            </w:r>
            <w:r>
              <w:rPr>
                <w:highlight w:val="none"/>
              </w:rPr>
            </w:r>
            <w:r/>
          </w:p>
        </w:tc>
      </w:tr>
      <w:tr>
        <w:trPr>
          <w:trHeight w:val="90"/>
        </w:trPr>
        <w:tc>
          <w:tcPr>
            <w:tcMar>
              <w:left w:w="108" w:type="dxa"/>
              <w:top w:w="0" w:type="dxa"/>
              <w:right w:w="108" w:type="dxa"/>
              <w:bottom w:w="0" w:type="dxa"/>
            </w:tcMar>
            <w:tcW w:w="8286" w:type="dxa"/>
            <w:vAlign w:val="center"/>
            <w:textDirection w:val="lrTb"/>
            <w:noWrap w:val="false"/>
          </w:tcPr>
          <w:p>
            <w:pPr>
              <w:pStyle w:val="779"/>
              <w:ind w:left="0" w:right="0"/>
              <w:jc w:val="both"/>
              <w:keepLines w:val="0"/>
              <w:keepNext w:val="0"/>
              <w:spacing w:before="0" w:beforeAutospacing="0" w:after="0" w:afterAutospacing="0" w:line="400" w:lineRule="atLeas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二、人员配备（1</w:t>
            </w:r>
            <w:r>
              <w:rPr>
                <w:rFonts w:hint="eastAsia" w:ascii="宋体" w:hAnsi="宋体" w:eastAsia="宋体" w:cs="宋体"/>
                <w:b/>
                <w:bCs/>
                <w:i w:val="0"/>
                <w:iCs w:val="0"/>
                <w:color w:val="000000"/>
                <w:spacing w:val="0"/>
                <w:sz w:val="24"/>
                <w:szCs w:val="24"/>
                <w:highlight w:val="none"/>
                <w:vertAlign w:val="baseline"/>
                <w:lang w:val="en-US" w:eastAsia="zh-CN"/>
              </w:rPr>
              <w:t xml:space="preserve">2</w:t>
            </w:r>
            <w:r>
              <w:rPr>
                <w:rFonts w:hint="eastAsia" w:ascii="宋体" w:hAnsi="宋体" w:eastAsia="宋体" w:cs="宋体"/>
                <w:b/>
                <w:bCs/>
                <w:i w:val="0"/>
                <w:iCs w:val="0"/>
                <w:color w:val="000000"/>
                <w:spacing w:val="0"/>
                <w:sz w:val="24"/>
                <w:szCs w:val="24"/>
                <w:highlight w:val="none"/>
                <w:vertAlign w:val="baseline"/>
              </w:rPr>
              <w:t xml:space="preserve">分）</w:t>
            </w:r>
            <w:r>
              <w:rPr>
                <w:highlight w:val="none"/>
              </w:rPr>
            </w:r>
            <w:r/>
          </w:p>
        </w:tc>
      </w:tr>
      <w:tr>
        <w:trPr>
          <w:trHeight w:val="1234"/>
        </w:trPr>
        <w:tc>
          <w:tcPr>
            <w:tcMar>
              <w:left w:w="108" w:type="dxa"/>
              <w:top w:w="0" w:type="dxa"/>
              <w:right w:w="108" w:type="dxa"/>
              <w:bottom w:w="0" w:type="dxa"/>
            </w:tcMar>
            <w:tcW w:w="8286" w:type="dxa"/>
            <w:vAlign w:val="center"/>
            <w:textDirection w:val="lrTb"/>
            <w:noWrap w:val="false"/>
          </w:tcPr>
          <w:p>
            <w:pPr>
              <w:pStyle w:val="779"/>
              <w:ind w:left="0" w:right="0"/>
              <w:jc w:val="left"/>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1、项目负责人（1人）：具</w:t>
            </w:r>
            <w:r>
              <w:rPr>
                <w:rFonts w:hint="eastAsia" w:ascii="宋体" w:hAnsi="宋体" w:eastAsia="宋体" w:cs="宋体"/>
                <w:b w:val="0"/>
                <w:bCs w:val="0"/>
                <w:i w:val="0"/>
                <w:iCs w:val="0"/>
                <w:color w:val="000000"/>
                <w:spacing w:val="0"/>
                <w:sz w:val="22"/>
                <w:szCs w:val="22"/>
                <w:highlight w:val="none"/>
                <w:vertAlign w:val="baseline"/>
              </w:rPr>
              <w:t xml:space="preserve">备以下证书的，每提供一个证书得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rPr>
              <w:t xml:space="preserve">，满分</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4</w:t>
            </w:r>
            <w:r>
              <w:rPr>
                <w:rFonts w:hint="eastAsia" w:ascii="宋体" w:hAnsi="宋体" w:eastAsia="宋体" w:cs="宋体"/>
                <w:b w:val="0"/>
                <w:bCs w:val="0"/>
                <w:i w:val="0"/>
                <w:iCs w:val="0"/>
                <w:color w:val="000000"/>
                <w:spacing w:val="0"/>
                <w:sz w:val="22"/>
                <w:szCs w:val="22"/>
                <w:highlight w:val="none"/>
                <w:vertAlign w:val="baseline"/>
              </w:rPr>
              <w:t xml:space="preserve">分。</w:t>
            </w:r>
            <w:r>
              <w:rPr>
                <w:highlight w:val="no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1</w:t>
            </w:r>
            <w:r>
              <w:rPr>
                <w:rFonts w:hint="eastAsia" w:ascii="宋体" w:hAnsi="宋体" w:eastAsia="宋体" w:cs="宋体"/>
                <w:b w:val="0"/>
                <w:bCs w:val="0"/>
                <w:i w:val="0"/>
                <w:iCs w:val="0"/>
                <w:color w:val="000000"/>
                <w:spacing w:val="0"/>
                <w:sz w:val="22"/>
                <w:szCs w:val="22"/>
                <w:highlight w:val="none"/>
                <w:vertAlign w:val="baseline"/>
              </w:rPr>
              <w:t xml:space="preserve">、具备信息系统项目管理师证书得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、具备软件设计师证书得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注：以提供证书原件扫描件加盖投标人公章，未提供或提供不全不得分。</w:t>
            </w:r>
            <w:r>
              <w:rPr>
                <w:rFonts w:ascii="宋体" w:hAnsi="宋体" w:eastAsia="宋体" w:cs="宋体"/>
                <w:b w:val="0"/>
                <w:bCs w:val="0"/>
                <w:i w:val="0"/>
                <w:iCs w:val="0"/>
                <w:color w:val="000000"/>
                <w:spacing w:val="0"/>
                <w:sz w:val="22"/>
                <w:szCs w:val="22"/>
                <w:highlight w:val="none"/>
                <w:vertAlign w:val="baseline"/>
              </w:rPr>
              <w:t xml:space="preserve">须提供上网公示之日当月向前1个月在本单位缴纳养老保险证明</w:t>
            </w:r>
            <w:r>
              <w:rPr>
                <w:rFonts w:hint="eastAsia" w:ascii="宋体" w:hAnsi="宋体" w:eastAsia="宋体" w:cs="宋体"/>
                <w:b w:val="0"/>
                <w:bCs w:val="0"/>
                <w:i w:val="0"/>
                <w:iCs w:val="0"/>
                <w:color w:val="000000"/>
                <w:spacing w:val="0"/>
                <w:sz w:val="22"/>
                <w:szCs w:val="22"/>
                <w:highlight w:val="none"/>
                <w:vertAlign w:val="baseline"/>
              </w:rPr>
              <w:t xml:space="preserve">原件扫描件</w:t>
            </w:r>
            <w:r>
              <w:rPr>
                <w:rFonts w:ascii="宋体" w:hAnsi="宋体" w:eastAsia="宋体" w:cs="宋体"/>
                <w:b w:val="0"/>
                <w:bCs w:val="0"/>
                <w:i w:val="0"/>
                <w:iCs w:val="0"/>
                <w:color w:val="000000"/>
                <w:spacing w:val="0"/>
                <w:sz w:val="22"/>
                <w:szCs w:val="22"/>
                <w:highlight w:val="none"/>
                <w:vertAlign w:val="baseline"/>
              </w:rPr>
              <w:t xml:space="preserve">。</w:t>
            </w:r>
            <w:r>
              <w:rPr>
                <w:rFonts w:hint="eastAsia" w:ascii="宋体" w:hAnsi="宋体" w:eastAsia="宋体" w:cs="宋体"/>
                <w:b w:val="0"/>
                <w:bCs w:val="0"/>
                <w:i w:val="0"/>
                <w:iCs w:val="0"/>
                <w:color w:val="000000"/>
                <w:spacing w:val="0"/>
                <w:sz w:val="22"/>
                <w:szCs w:val="22"/>
                <w:highlight w:val="none"/>
                <w:vertAlign w:val="baseline"/>
              </w:rPr>
            </w:r>
            <w:r/>
          </w:p>
          <w:p>
            <w:pPr>
              <w:pStyle w:val="779"/>
              <w:ind w:right="0"/>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2、项目经理（1人）：具备以下证书的，每提供一个证书得1分，满分</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1</w:t>
            </w:r>
            <w:r>
              <w:rPr>
                <w:rFonts w:hint="eastAsia" w:ascii="宋体" w:hAnsi="宋体" w:eastAsia="宋体" w:cs="宋体"/>
                <w:b w:val="0"/>
                <w:bCs w:val="0"/>
                <w:i w:val="0"/>
                <w:iCs w:val="0"/>
                <w:color w:val="000000"/>
                <w:spacing w:val="0"/>
                <w:sz w:val="22"/>
                <w:szCs w:val="22"/>
                <w:highlight w:val="none"/>
                <w:vertAlign w:val="baseline"/>
              </w:rPr>
              <w:t xml:space="preserve">、具备注册测绘师证书得1分；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、具备注册安全工程师证书得1分。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注：以提供证书扫描件加盖投标人公章，未提供或提供不全不得分。</w:t>
            </w:r>
            <w:r>
              <w:rPr>
                <w:rFonts w:ascii="宋体" w:hAnsi="宋体" w:eastAsia="宋体" w:cs="宋体"/>
                <w:b w:val="0"/>
                <w:bCs w:val="0"/>
                <w:i w:val="0"/>
                <w:iCs w:val="0"/>
                <w:color w:val="000000"/>
                <w:spacing w:val="0"/>
                <w:sz w:val="22"/>
                <w:szCs w:val="22"/>
                <w:highlight w:val="none"/>
                <w:vertAlign w:val="baseline"/>
              </w:rPr>
              <w:t xml:space="preserve">须提供上网公示之日当月向前1个月在本单位缴纳养老保险证明</w:t>
            </w:r>
            <w:r>
              <w:rPr>
                <w:rFonts w:hint="eastAsia" w:ascii="宋体" w:hAnsi="宋体" w:eastAsia="宋体" w:cs="宋体"/>
                <w:b w:val="0"/>
                <w:bCs w:val="0"/>
                <w:i w:val="0"/>
                <w:iCs w:val="0"/>
                <w:color w:val="000000"/>
                <w:spacing w:val="0"/>
                <w:sz w:val="22"/>
                <w:szCs w:val="22"/>
                <w:highlight w:val="none"/>
                <w:vertAlign w:val="baseline"/>
              </w:rPr>
              <w:t xml:space="preserve">原件扫描件</w:t>
            </w:r>
            <w:r>
              <w:rPr>
                <w:rFonts w:ascii="宋体" w:hAnsi="宋体" w:eastAsia="宋体" w:cs="宋体"/>
                <w:b w:val="0"/>
                <w:bCs w:val="0"/>
                <w:i w:val="0"/>
                <w:iCs w:val="0"/>
                <w:color w:val="000000"/>
                <w:spacing w:val="0"/>
                <w:sz w:val="22"/>
                <w:szCs w:val="22"/>
                <w:highlight w:val="none"/>
                <w:vertAlign w:val="baseline"/>
              </w:rPr>
              <w:t xml:space="preserve">。</w:t>
            </w:r>
            <w:r>
              <w:rPr>
                <w:rFonts w:hint="eastAsia" w:ascii="宋体" w:hAnsi="宋体" w:eastAsia="宋体" w:cs="宋体"/>
                <w:b w:val="0"/>
                <w:bCs w:val="0"/>
                <w:i w:val="0"/>
                <w:iCs w:val="0"/>
                <w:color w:val="000000"/>
                <w:spacing w:val="0"/>
                <w:sz w:val="22"/>
                <w:szCs w:val="22"/>
                <w:highlight w:val="none"/>
                <w:vertAlign w:val="baseline"/>
              </w:rPr>
            </w:r>
            <w:r/>
          </w:p>
          <w:p>
            <w:pPr>
              <w:pStyle w:val="779"/>
              <w:ind w:right="0"/>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ascii="宋体" w:hAnsi="宋体" w:eastAsia="宋体" w:cs="宋体"/>
                <w:b w:val="0"/>
                <w:bCs w:val="0"/>
                <w:i w:val="0"/>
                <w:iCs w:val="0"/>
                <w:color w:val="000000"/>
                <w:spacing w:val="0"/>
                <w:sz w:val="22"/>
                <w:szCs w:val="22"/>
                <w:highlight w:val="none"/>
                <w:vertAlign w:val="baseline"/>
              </w:rPr>
              <w:t xml:space="preserve">3</w:t>
            </w:r>
            <w:r>
              <w:rPr>
                <w:rFonts w:hint="eastAsia" w:ascii="宋体" w:hAnsi="宋体" w:eastAsia="宋体" w:cs="宋体"/>
                <w:b w:val="0"/>
                <w:bCs w:val="0"/>
                <w:i w:val="0"/>
                <w:iCs w:val="0"/>
                <w:color w:val="000000"/>
                <w:spacing w:val="0"/>
                <w:sz w:val="22"/>
                <w:szCs w:val="22"/>
                <w:highlight w:val="none"/>
                <w:vertAlign w:val="baseline"/>
              </w:rPr>
              <w:t xml:space="preserve">、技术负责人（1人）：具备以下证书的，每提供一个证书得1分，满分</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rPr>
              <w:t xml:space="preserve"> </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1、具备注册信息安全专业人员（CISP）</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证书</w:t>
            </w:r>
            <w:r>
              <w:rPr>
                <w:rFonts w:hint="eastAsia" w:ascii="宋体" w:hAnsi="宋体" w:eastAsia="宋体" w:cs="宋体"/>
                <w:b w:val="0"/>
                <w:bCs w:val="0"/>
                <w:i w:val="0"/>
                <w:iCs w:val="0"/>
                <w:color w:val="000000"/>
                <w:spacing w:val="0"/>
                <w:sz w:val="22"/>
                <w:szCs w:val="22"/>
                <w:highlight w:val="none"/>
                <w:vertAlign w:val="baseline"/>
              </w:rPr>
              <w:t xml:space="preserve">得1分；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、具备系统规划与管理师证书得1分；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注：以提供证书扫描件加盖投标人公章，未提供或提供不全不得分。</w:t>
            </w:r>
            <w:r>
              <w:rPr>
                <w:rFonts w:ascii="宋体" w:hAnsi="宋体" w:eastAsia="宋体" w:cs="宋体"/>
                <w:b w:val="0"/>
                <w:bCs w:val="0"/>
                <w:i w:val="0"/>
                <w:iCs w:val="0"/>
                <w:color w:val="000000"/>
                <w:spacing w:val="0"/>
                <w:sz w:val="22"/>
                <w:szCs w:val="22"/>
                <w:highlight w:val="none"/>
                <w:vertAlign w:val="baseline"/>
              </w:rPr>
              <w:t xml:space="preserve">须提供上网公示之日当月向前1个月在本单位缴纳养老保险证明</w:t>
            </w:r>
            <w:r>
              <w:rPr>
                <w:rFonts w:hint="eastAsia" w:ascii="宋体" w:hAnsi="宋体" w:eastAsia="宋体" w:cs="宋体"/>
                <w:b w:val="0"/>
                <w:bCs w:val="0"/>
                <w:i w:val="0"/>
                <w:iCs w:val="0"/>
                <w:color w:val="000000"/>
                <w:spacing w:val="0"/>
                <w:sz w:val="22"/>
                <w:szCs w:val="22"/>
                <w:highlight w:val="none"/>
                <w:vertAlign w:val="baseline"/>
              </w:rPr>
              <w:t xml:space="preserve">原件扫描件</w:t>
            </w:r>
            <w:r>
              <w:rPr>
                <w:rFonts w:ascii="宋体" w:hAnsi="宋体" w:eastAsia="宋体" w:cs="宋体"/>
                <w:b w:val="0"/>
                <w:bCs w:val="0"/>
                <w:i w:val="0"/>
                <w:iCs w:val="0"/>
                <w:color w:val="000000"/>
                <w:spacing w:val="0"/>
                <w:sz w:val="22"/>
                <w:szCs w:val="22"/>
                <w:highlight w:val="none"/>
                <w:vertAlign w:val="baseline"/>
              </w:rPr>
              <w:t xml:space="preserve">。</w:t>
            </w:r>
            <w:r>
              <w:rPr>
                <w:rFonts w:hint="eastAsia" w:ascii="宋体" w:hAnsi="宋体" w:eastAsia="宋体" w:cs="宋体"/>
                <w:b w:val="0"/>
                <w:bCs w:val="0"/>
                <w:i w:val="0"/>
                <w:iCs w:val="0"/>
                <w:color w:val="000000"/>
                <w:spacing w:val="0"/>
                <w:sz w:val="22"/>
                <w:szCs w:val="22"/>
                <w:highlight w:val="none"/>
                <w:vertAlign w:val="baseline"/>
              </w:rPr>
            </w:r>
            <w:r/>
          </w:p>
          <w:p>
            <w:pPr>
              <w:pStyle w:val="779"/>
              <w:ind w:right="0"/>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4、</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项目组</w:t>
            </w:r>
            <w:r>
              <w:rPr>
                <w:rFonts w:hint="eastAsia" w:ascii="宋体" w:hAnsi="宋体" w:eastAsia="宋体" w:cs="宋体"/>
                <w:b w:val="0"/>
                <w:bCs w:val="0"/>
                <w:i w:val="0"/>
                <w:iCs w:val="0"/>
                <w:color w:val="000000"/>
                <w:spacing w:val="0"/>
                <w:sz w:val="22"/>
                <w:szCs w:val="22"/>
                <w:highlight w:val="none"/>
                <w:vertAlign w:val="baseline"/>
              </w:rPr>
              <w:t xml:space="preserve">成员（不含项目负责人、项目经理和技术负责人），满分4分： </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项目组成员中具有注册信息安全工程师、数据库系统工程师、系统架构设计师、测绘类高级</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及以上</w:t>
            </w:r>
            <w:r>
              <w:rPr>
                <w:rFonts w:hint="eastAsia" w:ascii="宋体" w:hAnsi="宋体" w:eastAsia="宋体" w:cs="宋体"/>
                <w:b w:val="0"/>
                <w:bCs w:val="0"/>
                <w:i w:val="0"/>
                <w:iCs w:val="0"/>
                <w:color w:val="000000"/>
                <w:spacing w:val="0"/>
                <w:sz w:val="22"/>
                <w:szCs w:val="22"/>
                <w:highlight w:val="none"/>
                <w:vertAlign w:val="baseline"/>
              </w:rPr>
              <w:t xml:space="preserve">工程师，每提供一个证书得1分，本项最高得4分。以上人员不能重复，同项证书不重复得分。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35"/>
              <w:jc w:val="left"/>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注：以上均需提供有效期内证书原件扫描件，未提供或提供不全不得分。</w:t>
            </w:r>
            <w:r>
              <w:rPr>
                <w:rFonts w:ascii="宋体" w:hAnsi="宋体" w:eastAsia="宋体" w:cs="宋体"/>
                <w:b w:val="0"/>
                <w:bCs w:val="0"/>
                <w:i w:val="0"/>
                <w:iCs w:val="0"/>
                <w:color w:val="000000"/>
                <w:spacing w:val="0"/>
                <w:sz w:val="22"/>
                <w:szCs w:val="22"/>
                <w:highlight w:val="none"/>
                <w:vertAlign w:val="baseline"/>
              </w:rPr>
              <w:t xml:space="preserve">须提供上网公示之日当月向前1个月在本单位缴纳养老保险证明</w:t>
            </w:r>
            <w:r>
              <w:rPr>
                <w:rFonts w:hint="eastAsia" w:ascii="宋体" w:hAnsi="宋体" w:eastAsia="宋体" w:cs="宋体"/>
                <w:b w:val="0"/>
                <w:bCs w:val="0"/>
                <w:i w:val="0"/>
                <w:iCs w:val="0"/>
                <w:color w:val="000000"/>
                <w:spacing w:val="0"/>
                <w:sz w:val="22"/>
                <w:szCs w:val="22"/>
                <w:highlight w:val="none"/>
                <w:vertAlign w:val="baseline"/>
              </w:rPr>
              <w:t xml:space="preserve">原件扫描件</w:t>
            </w:r>
            <w:r>
              <w:rPr>
                <w:rFonts w:ascii="宋体" w:hAnsi="宋体" w:eastAsia="宋体" w:cs="宋体"/>
                <w:b w:val="0"/>
                <w:bCs w:val="0"/>
                <w:i w:val="0"/>
                <w:iCs w:val="0"/>
                <w:color w:val="000000"/>
                <w:spacing w:val="0"/>
                <w:sz w:val="22"/>
                <w:szCs w:val="22"/>
                <w:highlight w:val="none"/>
                <w:vertAlign w:val="baseline"/>
              </w:rPr>
              <w:t xml:space="preserve">。</w:t>
            </w:r>
            <w:r>
              <w:rPr>
                <w:highlight w:val="none"/>
              </w:rPr>
            </w:r>
            <w:r/>
          </w:p>
        </w:tc>
      </w:tr>
      <w:tr>
        <w:trPr>
          <w:trHeight w:val="494"/>
        </w:trPr>
        <w:tc>
          <w:tcPr>
            <w:tcMar>
              <w:left w:w="108" w:type="dxa"/>
              <w:top w:w="0" w:type="dxa"/>
              <w:right w:w="108" w:type="dxa"/>
              <w:bottom w:w="0" w:type="dxa"/>
            </w:tcMar>
            <w:tcW w:w="8286" w:type="dxa"/>
            <w:vAlign w:val="center"/>
            <w:textDirection w:val="lrTb"/>
            <w:noWrap w:val="false"/>
          </w:tcPr>
          <w:p>
            <w:pPr>
              <w:pStyle w:val="779"/>
              <w:ind w:left="0" w:right="0"/>
              <w:jc w:val="both"/>
              <w:keepLines w:val="0"/>
              <w:keepNext w:val="0"/>
              <w:spacing w:before="0" w:beforeAutospacing="0" w:after="0" w:afterAutospacing="0" w:line="400" w:lineRule="atLeas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三、企业资信（</w:t>
            </w:r>
            <w:r>
              <w:rPr>
                <w:rFonts w:hint="eastAsia" w:ascii="宋体" w:hAnsi="宋体" w:eastAsia="宋体" w:cs="宋体"/>
                <w:b/>
                <w:bCs/>
                <w:i w:val="0"/>
                <w:iCs w:val="0"/>
                <w:color w:val="000000"/>
                <w:spacing w:val="0"/>
                <w:sz w:val="24"/>
                <w:szCs w:val="24"/>
                <w:highlight w:val="none"/>
                <w:vertAlign w:val="baseline"/>
                <w:lang w:val="en-US" w:eastAsia="zh-CN"/>
              </w:rPr>
              <w:t xml:space="preserve">2</w:t>
            </w:r>
            <w:r>
              <w:rPr>
                <w:rFonts w:hint="eastAsia" w:ascii="宋体" w:hAnsi="宋体" w:eastAsia="宋体" w:cs="宋体"/>
                <w:b/>
                <w:bCs/>
                <w:i w:val="0"/>
                <w:iCs w:val="0"/>
                <w:color w:val="000000"/>
                <w:spacing w:val="0"/>
                <w:sz w:val="24"/>
                <w:szCs w:val="24"/>
                <w:highlight w:val="none"/>
                <w:vertAlign w:val="baseline"/>
              </w:rPr>
              <w:t xml:space="preserve">分）</w:t>
            </w:r>
            <w:r>
              <w:rPr>
                <w:highlight w:val="none"/>
              </w:rPr>
            </w:r>
            <w:r/>
          </w:p>
        </w:tc>
      </w:tr>
      <w:tr>
        <w:trPr>
          <w:trHeight w:val="1476"/>
        </w:trPr>
        <w:tc>
          <w:tcPr>
            <w:tcMar>
              <w:left w:w="108" w:type="dxa"/>
              <w:top w:w="0" w:type="dxa"/>
              <w:right w:w="108" w:type="dxa"/>
              <w:bottom w:w="0" w:type="dxa"/>
            </w:tcMar>
            <w:tcW w:w="8286" w:type="dxa"/>
            <w:vAlign w:val="center"/>
            <w:textDirection w:val="lrTb"/>
            <w:noWrap w:val="false"/>
          </w:tcPr>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投标人具有信息技术服务管理体系认证、数据治理安全管理体系认证、信息安全管理体系认证、隐私信息管理体系认证，同项证书不重复得分，每提供一个证书得0.5分，本项最高得2分。</w:t>
            </w:r>
            <w:r>
              <w:rPr>
                <w:highlight w:val="none"/>
              </w:rPr>
            </w:r>
            <w:r/>
          </w:p>
          <w:p>
            <w:pPr>
              <w:pStyle w:val="779"/>
              <w:ind w:left="0" w:right="0" w:firstLine="409"/>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2"/>
                <w:szCs w:val="22"/>
                <w:highlight w:val="none"/>
                <w:vertAlign w:val="baseline"/>
              </w:rPr>
              <w:t xml:space="preserve">注：以上证书以提供有效期限内证书原件扫描件，否则不得分。</w:t>
            </w:r>
            <w:r>
              <w:rPr>
                <w:highlight w:val="none"/>
              </w:rPr>
            </w:r>
            <w:r/>
          </w:p>
        </w:tc>
      </w:tr>
      <w:tr>
        <w:trPr>
          <w:trHeight w:val="463"/>
        </w:trPr>
        <w:tc>
          <w:tcPr>
            <w:tcMar>
              <w:left w:w="108" w:type="dxa"/>
              <w:top w:w="0" w:type="dxa"/>
              <w:right w:w="108" w:type="dxa"/>
              <w:bottom w:w="0" w:type="dxa"/>
            </w:tcMar>
            <w:tcW w:w="8286" w:type="dxa"/>
            <w:vAlign w:val="center"/>
            <w:textDirection w:val="lrTb"/>
            <w:noWrap w:val="false"/>
          </w:tcPr>
          <w:p>
            <w:pPr>
              <w:pStyle w:val="779"/>
              <w:ind w:left="0" w:right="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四、研发实力（</w:t>
            </w:r>
            <w:r>
              <w:rPr>
                <w:rFonts w:hint="eastAsia" w:ascii="宋体" w:hAnsi="宋体" w:eastAsia="宋体" w:cs="宋体"/>
                <w:b/>
                <w:bCs/>
                <w:i w:val="0"/>
                <w:iCs w:val="0"/>
                <w:color w:val="000000"/>
                <w:spacing w:val="0"/>
                <w:sz w:val="24"/>
                <w:szCs w:val="24"/>
                <w:highlight w:val="none"/>
                <w:vertAlign w:val="baseline"/>
                <w:lang w:val="en-US" w:eastAsia="zh-CN"/>
              </w:rPr>
              <w:t xml:space="preserve">5</w:t>
            </w:r>
            <w:r>
              <w:rPr>
                <w:rFonts w:hint="eastAsia" w:ascii="宋体" w:hAnsi="宋体" w:eastAsia="宋体" w:cs="宋体"/>
                <w:b/>
                <w:bCs/>
                <w:i w:val="0"/>
                <w:iCs w:val="0"/>
                <w:color w:val="000000"/>
                <w:spacing w:val="0"/>
                <w:sz w:val="24"/>
                <w:szCs w:val="24"/>
                <w:highlight w:val="none"/>
                <w:vertAlign w:val="baseline"/>
              </w:rPr>
              <w:t xml:space="preserve">分）</w:t>
            </w:r>
            <w:r>
              <w:rPr>
                <w:highlight w:val="none"/>
              </w:rPr>
            </w:r>
            <w:r/>
          </w:p>
        </w:tc>
      </w:tr>
      <w:tr>
        <w:trPr>
          <w:trHeight w:val="463"/>
        </w:trPr>
        <w:tc>
          <w:tcPr>
            <w:tcMar>
              <w:left w:w="108" w:type="dxa"/>
              <w:top w:w="0" w:type="dxa"/>
              <w:right w:w="108" w:type="dxa"/>
              <w:bottom w:w="0" w:type="dxa"/>
            </w:tcMar>
            <w:tcW w:w="8286" w:type="dxa"/>
            <w:vAlign w:val="center"/>
            <w:textDirection w:val="lrTb"/>
            <w:noWrap w:val="false"/>
          </w:tcPr>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投标人的具有和本项目建设内容相关或相似的软件著作权登记证书，内容包括综合管线数据生产、专业管线编辑与质检、管线三维展示与应用、管线管理信息系统、数据治理平台，每提供一个证书得1分，本项最高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5</w:t>
            </w:r>
            <w:r>
              <w:rPr>
                <w:rFonts w:hint="eastAsia" w:ascii="宋体" w:hAnsi="宋体" w:eastAsia="宋体" w:cs="宋体"/>
                <w:b w:val="0"/>
                <w:bCs w:val="0"/>
                <w:i w:val="0"/>
                <w:iCs w:val="0"/>
                <w:color w:val="000000"/>
                <w:spacing w:val="0"/>
                <w:sz w:val="22"/>
                <w:szCs w:val="22"/>
                <w:highlight w:val="none"/>
                <w:vertAlign w:val="baseline"/>
              </w:rPr>
              <w:t xml:space="preserve">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2"/>
                <w:szCs w:val="22"/>
                <w:highlight w:val="none"/>
                <w:vertAlign w:val="baseline"/>
              </w:rPr>
              <w:t xml:space="preserve">注：以上证书以提供证书原件扫描件，否则不得分。</w:t>
            </w:r>
            <w:r>
              <w:rPr>
                <w:highlight w:val="none"/>
              </w:rPr>
            </w:r>
            <w:r/>
          </w:p>
        </w:tc>
      </w:tr>
      <w:tr>
        <w:trPr>
          <w:trHeight w:val="542"/>
        </w:trPr>
        <w:tc>
          <w:tcPr>
            <w:tcMar>
              <w:left w:w="108" w:type="dxa"/>
              <w:top w:w="0" w:type="dxa"/>
              <w:right w:w="108" w:type="dxa"/>
              <w:bottom w:w="0" w:type="dxa"/>
            </w:tcMar>
            <w:tcW w:w="8286" w:type="dxa"/>
            <w:vAlign w:val="center"/>
            <w:textDirection w:val="lrTb"/>
            <w:noWrap w:val="false"/>
          </w:tcPr>
          <w:p>
            <w:pPr>
              <w:pStyle w:val="779"/>
              <w:ind w:left="0" w:right="0"/>
              <w:jc w:val="both"/>
              <w:keepLines w:val="0"/>
              <w:keepNext w:val="0"/>
              <w:spacing w:before="0" w:beforeAutospacing="0" w:after="0" w:afterAutospacing="0" w:line="400" w:lineRule="atLeas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五、业绩及获奖（</w:t>
            </w:r>
            <w:r>
              <w:rPr>
                <w:rFonts w:hint="eastAsia" w:ascii="宋体" w:hAnsi="宋体" w:eastAsia="宋体" w:cs="宋体"/>
                <w:b/>
                <w:bCs/>
                <w:i w:val="0"/>
                <w:iCs w:val="0"/>
                <w:color w:val="000000"/>
                <w:spacing w:val="0"/>
                <w:sz w:val="22"/>
                <w:szCs w:val="22"/>
                <w:highlight w:val="none"/>
                <w:vertAlign w:val="baseline"/>
                <w:lang w:val="en-US" w:eastAsia="zh-CN"/>
              </w:rPr>
              <w:t xml:space="preserve">9</w:t>
            </w:r>
            <w:r>
              <w:rPr>
                <w:rFonts w:hint="eastAsia" w:ascii="宋体" w:hAnsi="宋体" w:eastAsia="宋体" w:cs="宋体"/>
                <w:b/>
                <w:bCs/>
                <w:i w:val="0"/>
                <w:iCs w:val="0"/>
                <w:color w:val="000000"/>
                <w:spacing w:val="0"/>
                <w:sz w:val="24"/>
                <w:szCs w:val="24"/>
                <w:highlight w:val="none"/>
                <w:vertAlign w:val="baseline"/>
              </w:rPr>
              <w:t xml:space="preserve">分）</w:t>
            </w:r>
            <w:r>
              <w:rPr>
                <w:highlight w:val="none"/>
              </w:rPr>
            </w:r>
            <w:r/>
          </w:p>
        </w:tc>
      </w:tr>
      <w:tr>
        <w:trPr>
          <w:trHeight w:val="699"/>
        </w:trPr>
        <w:tc>
          <w:tcPr>
            <w:tcMar>
              <w:left w:w="108" w:type="dxa"/>
              <w:top w:w="0" w:type="dxa"/>
              <w:right w:w="108" w:type="dxa"/>
              <w:bottom w:w="0" w:type="dxa"/>
            </w:tcMar>
            <w:tcW w:w="8286" w:type="dxa"/>
            <w:vAlign w:val="center"/>
            <w:textDirection w:val="lrTb"/>
            <w:noWrap w:val="false"/>
          </w:tcPr>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1、投标人</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自</w:t>
            </w:r>
            <w:r>
              <w:rPr>
                <w:rFonts w:hint="eastAsia" w:ascii="宋体" w:hAnsi="宋体" w:eastAsia="宋体" w:cs="宋体"/>
                <w:b w:val="0"/>
                <w:bCs w:val="0"/>
                <w:i w:val="0"/>
                <w:iCs w:val="0"/>
                <w:color w:val="000000"/>
                <w:spacing w:val="0"/>
                <w:sz w:val="22"/>
                <w:szCs w:val="22"/>
                <w:highlight w:val="none"/>
                <w:vertAlign w:val="baseline"/>
              </w:rPr>
              <w:t xml:space="preserve">2022年1月1日以来（以项目合同签订日期为准）承担过类似</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项目（类似项目是指</w:t>
            </w:r>
            <w:r>
              <w:rPr>
                <w:rFonts w:hint="eastAsia" w:ascii="宋体" w:hAnsi="宋体" w:eastAsia="宋体" w:cs="宋体"/>
                <w:b w:val="0"/>
                <w:bCs w:val="0"/>
                <w:i w:val="0"/>
                <w:iCs w:val="0"/>
                <w:color w:val="000000"/>
                <w:spacing w:val="0"/>
                <w:sz w:val="22"/>
                <w:szCs w:val="22"/>
                <w:highlight w:val="none"/>
                <w:vertAlign w:val="baseline"/>
              </w:rPr>
              <w:t xml:space="preserve">管网普查或动态维护、管网信息化平台</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建设等相关）</w:t>
            </w:r>
            <w:r>
              <w:rPr>
                <w:rFonts w:hint="eastAsia" w:ascii="宋体" w:hAnsi="宋体" w:eastAsia="宋体" w:cs="宋体"/>
                <w:b w:val="0"/>
                <w:bCs w:val="0"/>
                <w:i w:val="0"/>
                <w:iCs w:val="0"/>
                <w:color w:val="000000"/>
                <w:spacing w:val="0"/>
                <w:sz w:val="22"/>
                <w:szCs w:val="22"/>
                <w:highlight w:val="none"/>
                <w:vertAlign w:val="baseline"/>
              </w:rPr>
              <w:t xml:space="preserve">业绩的，提供业绩合同等证明材料</w:t>
            </w:r>
            <w:r>
              <w:rPr>
                <w:rFonts w:hint="eastAsia" w:ascii="宋体" w:hAnsi="宋体" w:eastAsia="宋体" w:cs="宋体"/>
                <w:b w:val="0"/>
                <w:bCs w:val="0"/>
                <w:i w:val="0"/>
                <w:iCs w:val="0"/>
                <w:color w:val="000000"/>
                <w:spacing w:val="0"/>
                <w:sz w:val="22"/>
                <w:szCs w:val="22"/>
                <w:highlight w:val="none"/>
                <w:vertAlign w:val="baseline"/>
                <w:lang w:eastAsia="zh-CN"/>
              </w:rPr>
              <w:t xml:space="preserve">，</w:t>
            </w:r>
            <w:r>
              <w:rPr>
                <w:rFonts w:hint="eastAsia" w:ascii="宋体" w:hAnsi="宋体" w:eastAsia="宋体" w:cs="宋体"/>
                <w:b w:val="0"/>
                <w:bCs w:val="0"/>
                <w:i w:val="0"/>
                <w:iCs w:val="0"/>
                <w:color w:val="000000"/>
                <w:spacing w:val="0"/>
                <w:sz w:val="22"/>
                <w:szCs w:val="22"/>
                <w:highlight w:val="none"/>
                <w:vertAlign w:val="baseline"/>
              </w:rPr>
              <w:t xml:space="preserve">每提供一个得0.5分，本项最高得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4</w:t>
            </w:r>
            <w:r>
              <w:rPr>
                <w:rFonts w:hint="eastAsia" w:ascii="宋体" w:hAnsi="宋体" w:eastAsia="宋体" w:cs="宋体"/>
                <w:b w:val="0"/>
                <w:bCs w:val="0"/>
                <w:i w:val="0"/>
                <w:iCs w:val="0"/>
                <w:color w:val="000000"/>
                <w:spacing w:val="0"/>
                <w:sz w:val="22"/>
                <w:szCs w:val="22"/>
                <w:highlight w:val="none"/>
                <w:vertAlign w:val="baseline"/>
              </w:rPr>
              <w:t xml:space="preserve">分。</w:t>
            </w:r>
            <w:r>
              <w:rPr>
                <w:highlight w:val="none"/>
              </w:rPr>
            </w:r>
            <w:r/>
          </w:p>
          <w:p>
            <w:pPr>
              <w:pStyle w:val="779"/>
              <w:ind w:left="0" w:right="0" w:firstLine="420"/>
              <w:jc w:val="both"/>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2、投标人</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自</w:t>
            </w:r>
            <w:r>
              <w:rPr>
                <w:rFonts w:hint="eastAsia" w:ascii="宋体" w:hAnsi="宋体" w:eastAsia="宋体" w:cs="宋体"/>
                <w:b w:val="0"/>
                <w:bCs w:val="0"/>
                <w:i w:val="0"/>
                <w:iCs w:val="0"/>
                <w:color w:val="000000"/>
                <w:spacing w:val="0"/>
                <w:sz w:val="22"/>
                <w:szCs w:val="22"/>
                <w:highlight w:val="none"/>
                <w:vertAlign w:val="baseline"/>
              </w:rPr>
              <w:t xml:space="preserve">2022年1月1日以来</w:t>
            </w:r>
            <w:r>
              <w:rPr>
                <w:rFonts w:hint="eastAsia" w:ascii="宋体" w:hAnsi="宋体" w:eastAsia="宋体" w:cs="宋体"/>
                <w:b w:val="0"/>
                <w:bCs w:val="0"/>
                <w:i w:val="0"/>
                <w:iCs w:val="0"/>
                <w:color w:val="000000"/>
                <w:spacing w:val="0"/>
                <w:sz w:val="22"/>
                <w:szCs w:val="22"/>
                <w:highlight w:val="none"/>
                <w:vertAlign w:val="baseline"/>
              </w:rPr>
              <w:t xml:space="preserve">承担的类似项目获得的省级</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及以上</w:t>
            </w:r>
            <w:r>
              <w:rPr>
                <w:rFonts w:hint="eastAsia" w:ascii="宋体" w:hAnsi="宋体" w:eastAsia="宋体" w:cs="宋体"/>
                <w:b w:val="0"/>
                <w:bCs w:val="0"/>
                <w:i w:val="0"/>
                <w:iCs w:val="0"/>
                <w:color w:val="000000"/>
                <w:spacing w:val="0"/>
                <w:sz w:val="22"/>
                <w:szCs w:val="22"/>
                <w:highlight w:val="none"/>
                <w:vertAlign w:val="baseline"/>
              </w:rPr>
              <w:t xml:space="preserve">行政部门颁发</w:t>
            </w:r>
            <w:r>
              <w:rPr>
                <w:rFonts w:hint="eastAsia" w:ascii="宋体" w:hAnsi="宋体" w:eastAsia="宋体" w:cs="宋体"/>
                <w:b w:val="0"/>
                <w:bCs w:val="0"/>
                <w:i w:val="0"/>
                <w:iCs w:val="0"/>
                <w:color w:val="000000"/>
                <w:spacing w:val="0"/>
                <w:sz w:val="22"/>
                <w:szCs w:val="22"/>
                <w:highlight w:val="none"/>
                <w:vertAlign w:val="baseline"/>
              </w:rPr>
              <w:t xml:space="preserve">奖项的得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分，市级</w:t>
            </w:r>
            <w:r>
              <w:rPr>
                <w:rFonts w:hint="eastAsia" w:ascii="宋体" w:hAnsi="宋体" w:eastAsia="宋体" w:cs="宋体"/>
                <w:b w:val="0"/>
                <w:bCs w:val="0"/>
                <w:i w:val="0"/>
                <w:iCs w:val="0"/>
                <w:color w:val="000000"/>
                <w:spacing w:val="0"/>
                <w:sz w:val="22"/>
                <w:szCs w:val="22"/>
                <w:highlight w:val="none"/>
                <w:vertAlign w:val="baseline"/>
              </w:rPr>
              <w:t xml:space="preserve">行政部门</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颁发</w:t>
            </w:r>
            <w:r>
              <w:rPr>
                <w:rFonts w:hint="eastAsia" w:ascii="宋体" w:hAnsi="宋体" w:eastAsia="宋体" w:cs="宋体"/>
                <w:b w:val="0"/>
                <w:bCs w:val="0"/>
                <w:i w:val="0"/>
                <w:iCs w:val="0"/>
                <w:color w:val="000000"/>
                <w:spacing w:val="0"/>
                <w:sz w:val="22"/>
                <w:szCs w:val="22"/>
                <w:highlight w:val="none"/>
                <w:vertAlign w:val="baseline"/>
              </w:rPr>
              <w:t xml:space="preserve">奖项的得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1</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区县级</w:t>
            </w:r>
            <w:r>
              <w:rPr>
                <w:rFonts w:hint="eastAsia" w:ascii="宋体" w:hAnsi="宋体" w:eastAsia="宋体" w:cs="宋体"/>
                <w:b w:val="0"/>
                <w:bCs w:val="0"/>
                <w:i w:val="0"/>
                <w:iCs w:val="0"/>
                <w:color w:val="000000"/>
                <w:spacing w:val="0"/>
                <w:sz w:val="22"/>
                <w:szCs w:val="22"/>
                <w:highlight w:val="none"/>
                <w:vertAlign w:val="baseline"/>
              </w:rPr>
              <w:t xml:space="preserve">行政部门</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颁发</w:t>
            </w:r>
            <w:r>
              <w:rPr>
                <w:rFonts w:hint="eastAsia" w:ascii="宋体" w:hAnsi="宋体" w:eastAsia="宋体" w:cs="宋体"/>
                <w:b w:val="0"/>
                <w:bCs w:val="0"/>
                <w:i w:val="0"/>
                <w:iCs w:val="0"/>
                <w:color w:val="000000"/>
                <w:spacing w:val="0"/>
                <w:sz w:val="22"/>
                <w:szCs w:val="22"/>
                <w:highlight w:val="none"/>
                <w:vertAlign w:val="baseline"/>
              </w:rPr>
              <w:t xml:space="preserve">奖项</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0.5</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lang w:eastAsia="zh-CN"/>
              </w:rPr>
              <w:t xml:space="preserve">，</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本项最高得3分</w:t>
            </w:r>
            <w:r>
              <w:rPr>
                <w:rFonts w:hint="eastAsia" w:ascii="宋体" w:hAnsi="宋体" w:eastAsia="宋体" w:cs="宋体"/>
                <w:b w:val="0"/>
                <w:bCs w:val="0"/>
                <w:i w:val="0"/>
                <w:iCs w:val="0"/>
                <w:color w:val="000000"/>
                <w:spacing w:val="0"/>
                <w:sz w:val="22"/>
                <w:szCs w:val="22"/>
                <w:highlight w:val="none"/>
                <w:vertAlign w:val="baseline"/>
              </w:rPr>
              <w:t xml:space="preserve">。（需提供相关的获奖证书原件扫描件）</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20"/>
              <w:jc w:val="both"/>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3、投标人</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自</w:t>
            </w:r>
            <w:r>
              <w:rPr>
                <w:rFonts w:hint="eastAsia" w:ascii="宋体" w:hAnsi="宋体" w:eastAsia="宋体" w:cs="宋体"/>
                <w:b w:val="0"/>
                <w:bCs w:val="0"/>
                <w:i w:val="0"/>
                <w:iCs w:val="0"/>
                <w:color w:val="000000"/>
                <w:spacing w:val="0"/>
                <w:sz w:val="22"/>
                <w:szCs w:val="22"/>
                <w:highlight w:val="none"/>
                <w:vertAlign w:val="baseline"/>
              </w:rPr>
              <w:t xml:space="preserve">2022年1月1日以来</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参与</w:t>
            </w:r>
            <w:r>
              <w:rPr>
                <w:rFonts w:hint="eastAsia" w:ascii="宋体" w:hAnsi="宋体" w:eastAsia="宋体" w:cs="宋体"/>
                <w:b w:val="0"/>
                <w:bCs w:val="0"/>
                <w:i w:val="0"/>
                <w:iCs w:val="0"/>
                <w:color w:val="000000"/>
                <w:spacing w:val="0"/>
                <w:sz w:val="22"/>
                <w:szCs w:val="22"/>
                <w:highlight w:val="none"/>
                <w:vertAlign w:val="baseline"/>
              </w:rPr>
              <w:t xml:space="preserve">编制地下管线相关标准、规范的，省级及以上的每个得1分，市级的每个得0.5分，</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本项最高</w:t>
            </w:r>
            <w:r>
              <w:rPr>
                <w:rFonts w:hint="eastAsia" w:ascii="宋体" w:hAnsi="宋体" w:eastAsia="宋体" w:cs="宋体"/>
                <w:b w:val="0"/>
                <w:bCs w:val="0"/>
                <w:i w:val="0"/>
                <w:iCs w:val="0"/>
                <w:color w:val="000000"/>
                <w:spacing w:val="0"/>
                <w:sz w:val="22"/>
                <w:szCs w:val="22"/>
                <w:highlight w:val="none"/>
                <w:vertAlign w:val="baseline"/>
              </w:rPr>
              <w:t xml:space="preserve">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2</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2"/>
                <w:szCs w:val="22"/>
                <w:highlight w:val="none"/>
                <w:vertAlign w:val="baseline"/>
              </w:rPr>
              <w:t xml:space="preserve">注：以上材料需提供原件扫描件</w:t>
            </w:r>
            <w:r>
              <w:rPr>
                <w:rFonts w:hint="eastAsia" w:ascii="宋体" w:hAnsi="宋体" w:eastAsia="宋体" w:cs="宋体"/>
                <w:b/>
                <w:bCs/>
                <w:i w:val="0"/>
                <w:iCs w:val="0"/>
                <w:color w:val="000000"/>
                <w:spacing w:val="0"/>
                <w:sz w:val="22"/>
                <w:szCs w:val="22"/>
                <w:highlight w:val="none"/>
                <w:vertAlign w:val="baseline"/>
                <w:lang w:eastAsia="zh-CN"/>
              </w:rPr>
              <w:t xml:space="preserve">，</w:t>
            </w:r>
            <w:r>
              <w:rPr>
                <w:rFonts w:hint="eastAsia" w:ascii="宋体" w:hAnsi="宋体" w:eastAsia="宋体" w:cs="宋体"/>
                <w:b/>
                <w:bCs/>
                <w:i w:val="0"/>
                <w:iCs w:val="0"/>
                <w:color w:val="000000"/>
                <w:spacing w:val="0"/>
                <w:sz w:val="22"/>
                <w:szCs w:val="22"/>
                <w:highlight w:val="none"/>
                <w:vertAlign w:val="baseline"/>
              </w:rPr>
              <w:t xml:space="preserve">未提供或材料不全的不得分。</w:t>
            </w:r>
            <w:r>
              <w:rPr>
                <w:highlight w:val="none"/>
              </w:rPr>
            </w:r>
            <w:r/>
          </w:p>
        </w:tc>
      </w:tr>
      <w:tr>
        <w:trPr>
          <w:trHeight w:val="568"/>
        </w:trPr>
        <w:tc>
          <w:tcPr>
            <w:tcMar>
              <w:left w:w="108" w:type="dxa"/>
              <w:top w:w="0" w:type="dxa"/>
              <w:right w:w="108" w:type="dxa"/>
              <w:bottom w:w="0" w:type="dxa"/>
            </w:tcMar>
            <w:tcW w:w="8286" w:type="dxa"/>
            <w:vAlign w:val="center"/>
            <w:textDirection w:val="lrTb"/>
            <w:noWrap w:val="false"/>
          </w:tcPr>
          <w:p>
            <w:pPr>
              <w:pStyle w:val="779"/>
              <w:ind w:left="0" w:right="0"/>
              <w:jc w:val="both"/>
              <w:keepLines w:val="0"/>
              <w:keepNext w:val="0"/>
              <w:spacing w:before="0" w:beforeAutospacing="0" w:after="0" w:afterAutospacing="0" w:line="400" w:lineRule="atLeas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六、系统演示（30分）</w:t>
            </w:r>
            <w:r>
              <w:rPr>
                <w:highlight w:val="none"/>
              </w:rPr>
            </w:r>
            <w:r/>
          </w:p>
        </w:tc>
      </w:tr>
      <w:tr>
        <w:trPr>
          <w:trHeight w:val="357"/>
        </w:trPr>
        <w:tc>
          <w:tcPr>
            <w:tcMar>
              <w:left w:w="108" w:type="dxa"/>
              <w:top w:w="0" w:type="dxa"/>
              <w:right w:w="108" w:type="dxa"/>
              <w:bottom w:w="0" w:type="dxa"/>
            </w:tcMar>
            <w:tcW w:w="8286" w:type="dxa"/>
            <w:vAlign w:val="center"/>
            <w:textDirection w:val="lrTb"/>
            <w:noWrap w:val="false"/>
          </w:tcPr>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2"/>
                <w:szCs w:val="22"/>
                <w:highlight w:val="none"/>
                <w:vertAlign w:val="baseline"/>
              </w:rPr>
              <w:t xml:space="preserve">1、管线数据检查工具软件（3分）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演示功能点要求如下（以下功能点完全充分演示得3分，每缺少一项或演示不充分扣除该功能点分值，扣完为止。此系统要求采用单机版，即不依赖GIS基础平台和数据库，未采用单机版不得分）：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1）重复实体检查，检查同层管点、管线、注记等是否有重复（0.5分）；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2）方向数检查，检查与特定管线点连接的管线是否符合规则，如与直线点、弯头连通的管线是否是2根（0.5分）；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3）检查排水管线是否存在倒坡的情况（0.5分）；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4）排水大管流向小管检查，检查排水管线是否存在大管径管线流向小管径管线的情况（0.5分）；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5）三维管线查看，根据选中的管线数据自动生成三维模型并进行展示，便于用户查看管线是否交叉、碰撞（1分）。</w:t>
            </w:r>
            <w:r>
              <w:rPr>
                <w:highlight w:val="none"/>
              </w:rPr>
            </w:r>
            <w:r/>
          </w:p>
          <w:p>
            <w:pPr>
              <w:pStyle w:val="779"/>
              <w:ind w:left="0" w:right="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2"/>
                <w:szCs w:val="22"/>
                <w:highlight w:val="none"/>
                <w:vertAlign w:val="baseline"/>
              </w:rPr>
              <w:t xml:space="preserve">2、管线数据质检子系统（7分）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演示功能点要求如下（以下功能点完全充分演示得7分，每缺少一项或演示不充分扣除该功能点分值，扣完为止。此系统要求采用B/S架构，未采用B/S架构不得分）：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1）管线权属单位及埋设方式一致性检查：检查隐蔽点处有连接关系的管线权属单位及埋设方式是否一致（0.5分）；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2）明显管线点的高程合理性检查：结合DEM数据对比检查明显管线点的地面高是否超限（0.5分）；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3）管线点平面位置合理性检查：结合道路数据对比检查管线点平面位置是否超限（0.5分）；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4）管线点、线道路名称检查：结合道路数据中道路名称属性，对比检查管线点、线表中的道路名称与道路数据中道路名称是否一致（0.5分）；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5）管线现势性及完整性检查：结合道路数据，检查在一定范围内是否存在“有路无管线”与“有管线无路”等情况（0.5分）；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6）支持新建、暂停、删除检查任务，可查看任务执行详细情况（0.5分）；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7）支持用户自定义选择一个或多个管线mdb数据集创建检查任务（0.5分）；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8）检查完成后，可通过属性列表形式展示检查结果，支持以图文一体化形式在地图上快速定位检查问题（0.5分）；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9）演示单个大于500M的文件质检（1分）；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10）演示100万以上管线要素检查，检查时间不超过5分钟（2分）。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注：功能不具备或功能不全、功能不满足或设计不规范，则该功能点不得分。</w:t>
            </w:r>
            <w:r>
              <w:rPr>
                <w:highlight w:val="none"/>
              </w:rPr>
            </w:r>
            <w:r/>
          </w:p>
          <w:p>
            <w:pPr>
              <w:pStyle w:val="779"/>
              <w:ind w:left="0" w:right="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2"/>
                <w:szCs w:val="22"/>
                <w:highlight w:val="none"/>
                <w:vertAlign w:val="baseline"/>
              </w:rPr>
              <w:t xml:space="preserve">3、管线数据管理子系统（10分）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演示功能点要求如下（以下所有功能点完全充分演示得10分，每缺少一项或演示不充分扣除该功能点分值，扣完为止）： </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1）支持在同一个系统中管理地下管线普查库、竣工库、生产库和成果库，分别切换这四个库，叠加展示各库中管线数据；对普查库、竣工库、生产库进行编辑，切换到成果库后编辑功能失效（0.5分）；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2）普查入库：实现普查数据入库，数据入库完成后支持统计入库信息和导出功能（0.5分）；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3）普查更新：实现普查数据更新，支持清库和追加两种模式入库，支持待更新入库与库体数据的图文一体化差异比对，清晰区分新增、修改和删除管线和管点要素。数据更新完成后支持统计更新信息和导出功能（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4）竣工更新：实现竣工管线数据更新入库，包括更新信息填写、选择数据、数据质检、更新比对、数据入库、更新数据统计以及导出入库报告（0.5分）；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5）支持以列表形式对竣工项目进行存档管理，在列表中选择某竣工项目，则在地图窗口中高亮显示此项目关联的所有管线和管点；支持查看此竣工项目的具体管线、管点列表清单，对单条管线或管点定位和属性查看（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6）支持竣工管线mdb点线表与dwg、pdf、jpg等附件资料一并入库，入库完后可以查看附件资料（0.5分）；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7）管网接边：支持通过属性列表形式展示接边结果，以图文一体化形式在地图上快速定位接边效果（0.5分）；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8）数据更新统计：为方便核实数据入库的完整性，需支持对入库后数据的分类数量统计（0.5分）；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9）数据同步管理：地下管线数据更新入库时，支持在普查库、竣工库、生产库以及成果库之间同步（0.5分）；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10）批量删除：支持批量删除管线和管点，在同一个区域存在重复数据，默认选择入库时间较久的数据，提供面板显示要删除的管点和管线，可以自定义取消删除，以防误操作（1分）；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11）拖线头，拖动管线的一端到另一个管点上，同时重新建立管线与新管点的点线关系（1分）；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12）拖管点，拖动管点到新位置，与该管点相连的管线随着管点的移动跟随移动（0.5分）；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13）管线反向，调换管线起点、终点坐标，同时调换起点埋深、终点埋深、起点高程、终点高程值（1分）；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14）线上插点，在现有管线上插入指定代码的管点，原有管线打断为两根管线并自动维护新插入管点的点线关系（1分）；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15）属性刷，从选择的管线要素中提取属性信息，可将这些信息复制到目标管线数据中（0.5分）；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16）管点符号旋转，根据规则进行管点符号的旋转，满足管线图面整饰要求（0.5分）。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注：功能不具备或功能不全、功能不满足或设计不规范，则该功能点不得分。</w:t>
            </w:r>
            <w:r>
              <w:rPr>
                <w:highlight w:val="none"/>
              </w:rPr>
            </w:r>
            <w:r/>
          </w:p>
          <w:p>
            <w:pPr>
              <w:pStyle w:val="779"/>
              <w:ind w:left="0" w:right="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2"/>
                <w:szCs w:val="22"/>
                <w:highlight w:val="none"/>
                <w:vertAlign w:val="baseline"/>
              </w:rPr>
              <w:t xml:space="preserve">4、管线二三维应用子系统（5分）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演示功能点要求如下（以下所有功能点完全充分演示得5分，每缺少一项或演示不充分扣除该功能点分值，扣完为止。此系统要求采用B/S架构，未采用B/S架构不得分）：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1）演示管线建模:支持生成架空管线、杆塔等地上管线设施（2分）；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2）演示三维管线增量更新:二维管线变化后，三维管线即时更新（1分）；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3）横断面分析：演示路幅（车行道、人行道、绿化带等的宽度）的自定义修改功能，修改完后横断面结果自动刷新（1分）；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4）纵断面分析：支持选择多条连续管线进行分析，自动将选择的多条管线生成平面图，支持地图上管线和剖面图管线同屏联动定位（1分）。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注：功能不具备或功能不全、功能不满足或设计不规范，则该功能点不得分。</w:t>
            </w:r>
            <w:r>
              <w:rPr>
                <w:highlight w:val="none"/>
              </w:rPr>
            </w:r>
            <w:r/>
          </w:p>
          <w:p>
            <w:pPr>
              <w:pStyle w:val="779"/>
              <w:ind w:left="0" w:right="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bCs/>
                <w:i w:val="0"/>
                <w:iCs w:val="0"/>
                <w:color w:val="000000"/>
                <w:spacing w:val="0"/>
                <w:sz w:val="22"/>
                <w:szCs w:val="22"/>
                <w:highlight w:val="none"/>
                <w:vertAlign w:val="baseline"/>
              </w:rPr>
              <w:t xml:space="preserve">5、地下管线规划方案辅助审查子系统（5分）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演示功能点要求如下（以下所有功能点完全充分演示得5分，每缺少一项或演示不充分扣除该功能点分值，扣完为止。此系统要求采用B/S架构，未采用B/S架构不得分）：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1）在地图上绘制生成规划管线方案，单个方案包含多种类别管线（1分）；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2）支持对规划管线方案进行合理性分析，单个方案包含多种类别管线（1分）；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3）支持对规划管线方案内的管线进行合理性分析，分析水平净距和垂直净距是否符合要求（1分）；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4）支持规划管线方案与现状管线进行合理性分析，分析水平净距和垂直净距是否符合要求（1分）；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5）支持对竣工管线数据与规划管线方案一致性分析（1分）。</w:t>
            </w:r>
            <w:r>
              <w:rPr>
                <w:highlight w:val="no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rPr>
              <w:t xml:space="preserve">注：</w:t>
            </w:r>
            <w:r>
              <w:rPr>
                <w:rFonts w:hint="eastAsia" w:ascii="宋体" w:hAnsi="宋体" w:eastAsia="宋体" w:cs="宋体"/>
                <w:b w:val="0"/>
                <w:bCs w:val="0"/>
                <w:i w:val="0"/>
                <w:iCs w:val="0"/>
                <w:color w:val="000000"/>
                <w:spacing w:val="0"/>
                <w:sz w:val="22"/>
                <w:szCs w:val="22"/>
                <w:highlight w:val="none"/>
                <w:vertAlign w:val="baseline"/>
              </w:rPr>
              <w:t xml:space="preserve">演示内容应紧扣项目需求，讲述清晰</w:t>
            </w:r>
            <w:r>
              <w:rPr>
                <w:rFonts w:hint="eastAsia" w:ascii="宋体" w:hAnsi="宋体" w:eastAsia="宋体" w:cs="宋体"/>
                <w:b w:val="0"/>
                <w:bCs w:val="0"/>
                <w:i w:val="0"/>
                <w:iCs w:val="0"/>
                <w:color w:val="000000"/>
                <w:spacing w:val="0"/>
                <w:sz w:val="22"/>
                <w:szCs w:val="22"/>
                <w:highlight w:val="none"/>
                <w:vertAlign w:val="baseline"/>
                <w:lang w:eastAsia="zh-CN"/>
              </w:rPr>
              <w:t xml:space="preserve">，</w:t>
            </w:r>
            <w:r>
              <w:rPr>
                <w:rFonts w:hint="eastAsia" w:ascii="宋体" w:hAnsi="宋体" w:eastAsia="宋体" w:cs="宋体"/>
                <w:b w:val="0"/>
                <w:bCs w:val="0"/>
                <w:i w:val="0"/>
                <w:iCs w:val="0"/>
                <w:color w:val="000000"/>
                <w:spacing w:val="0"/>
                <w:sz w:val="22"/>
                <w:szCs w:val="22"/>
                <w:highlight w:val="none"/>
                <w:vertAlign w:val="baseline"/>
              </w:rPr>
              <w:t xml:space="preserve">功能不具备或功能不全、功能不满足或设计不规范，则该功能点不得分</w:t>
            </w:r>
            <w:r>
              <w:rPr>
                <w:rFonts w:hint="eastAsia" w:ascii="宋体" w:hAnsi="宋体" w:eastAsia="宋体" w:cs="宋体"/>
                <w:b w:val="0"/>
                <w:bCs w:val="0"/>
                <w:i w:val="0"/>
                <w:iCs w:val="0"/>
                <w:color w:val="000000"/>
                <w:spacing w:val="0"/>
                <w:sz w:val="22"/>
                <w:szCs w:val="22"/>
                <w:highlight w:val="none"/>
                <w:vertAlign w:val="baseline"/>
              </w:rPr>
              <w:t xml:space="preserve">；演示时间不得超过</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15</w:t>
            </w:r>
            <w:r>
              <w:rPr>
                <w:rFonts w:hint="eastAsia" w:ascii="宋体" w:hAnsi="宋体" w:eastAsia="宋体" w:cs="宋体"/>
                <w:b w:val="0"/>
                <w:bCs w:val="0"/>
                <w:i w:val="0"/>
                <w:iCs w:val="0"/>
                <w:color w:val="000000"/>
                <w:spacing w:val="0"/>
                <w:sz w:val="22"/>
                <w:szCs w:val="22"/>
                <w:highlight w:val="none"/>
                <w:vertAlign w:val="baseline"/>
              </w:rPr>
              <w:t xml:space="preserve">分钟</w:t>
            </w:r>
            <w:r>
              <w:rPr>
                <w:rFonts w:hint="eastAsia" w:ascii="宋体" w:hAnsi="宋体" w:eastAsia="宋体" w:cs="宋体"/>
                <w:b w:val="0"/>
                <w:bCs w:val="0"/>
                <w:i w:val="0"/>
                <w:iCs w:val="0"/>
                <w:color w:val="000000"/>
                <w:spacing w:val="0"/>
                <w:sz w:val="22"/>
                <w:szCs w:val="22"/>
                <w:highlight w:val="none"/>
                <w:vertAlign w:val="baseline"/>
                <w:lang w:eastAsia="zh-CN"/>
              </w:rPr>
              <w:t xml:space="preserve">。</w:t>
            </w:r>
            <w:r>
              <w:rPr>
                <w:highlight w:val="none"/>
              </w:rPr>
            </w:r>
            <w:r/>
          </w:p>
        </w:tc>
      </w:tr>
      <w:tr>
        <w:trPr>
          <w:trHeight w:val="522"/>
        </w:trPr>
        <w:tc>
          <w:tcPr>
            <w:tcMar>
              <w:left w:w="108" w:type="dxa"/>
              <w:top w:w="0" w:type="dxa"/>
              <w:right w:w="108" w:type="dxa"/>
              <w:bottom w:w="0" w:type="dxa"/>
            </w:tcMar>
            <w:tcW w:w="8286" w:type="dxa"/>
            <w:vAlign w:val="center"/>
            <w:textDirection w:val="lrTb"/>
            <w:noWrap w:val="false"/>
          </w:tcPr>
          <w:p>
            <w:pPr>
              <w:pStyle w:val="779"/>
              <w:ind w:left="0" w:right="0"/>
              <w:jc w:val="both"/>
              <w:keepLines w:val="0"/>
              <w:keepNext w:val="0"/>
              <w:spacing w:before="0" w:beforeAutospacing="0" w:after="0" w:afterAutospacing="0" w:line="400" w:lineRule="atLeast"/>
              <w:widowControl/>
              <w:rPr>
                <w:highlight w:val="none"/>
              </w:rPr>
              <w:suppressLineNumbers w:val="0"/>
            </w:pPr>
            <w:r>
              <w:rPr>
                <w:rFonts w:hint="eastAsia" w:ascii="宋体" w:hAnsi="宋体" w:eastAsia="宋体" w:cs="宋体"/>
                <w:b/>
                <w:bCs/>
                <w:i w:val="0"/>
                <w:iCs w:val="0"/>
                <w:color w:val="000000"/>
                <w:spacing w:val="0"/>
                <w:sz w:val="24"/>
                <w:szCs w:val="24"/>
                <w:highlight w:val="none"/>
                <w:vertAlign w:val="baseline"/>
              </w:rPr>
              <w:t xml:space="preserve">七、技术方案（3</w:t>
            </w:r>
            <w:r>
              <w:rPr>
                <w:rFonts w:hint="eastAsia" w:ascii="宋体" w:hAnsi="宋体" w:eastAsia="宋体" w:cs="宋体"/>
                <w:b/>
                <w:bCs/>
                <w:i w:val="0"/>
                <w:iCs w:val="0"/>
                <w:color w:val="000000"/>
                <w:spacing w:val="0"/>
                <w:sz w:val="24"/>
                <w:szCs w:val="24"/>
                <w:highlight w:val="none"/>
                <w:vertAlign w:val="baseline"/>
                <w:lang w:val="en-US" w:eastAsia="zh-CN"/>
              </w:rPr>
              <w:t xml:space="preserve">2</w:t>
            </w:r>
            <w:r>
              <w:rPr>
                <w:rFonts w:hint="eastAsia" w:ascii="宋体" w:hAnsi="宋体" w:eastAsia="宋体" w:cs="宋体"/>
                <w:b/>
                <w:bCs/>
                <w:i w:val="0"/>
                <w:iCs w:val="0"/>
                <w:color w:val="000000"/>
                <w:spacing w:val="0"/>
                <w:sz w:val="24"/>
                <w:szCs w:val="24"/>
                <w:highlight w:val="none"/>
                <w:vertAlign w:val="baseline"/>
              </w:rPr>
              <w:t xml:space="preserve">分）</w:t>
            </w:r>
            <w:r>
              <w:rPr>
                <w:highlight w:val="none"/>
              </w:rPr>
            </w:r>
            <w:r/>
          </w:p>
        </w:tc>
      </w:tr>
      <w:tr>
        <w:trPr>
          <w:trHeight w:val="522"/>
        </w:trPr>
        <w:tc>
          <w:tcPr>
            <w:tcMar>
              <w:left w:w="108" w:type="dxa"/>
              <w:top w:w="0" w:type="dxa"/>
              <w:right w:w="108" w:type="dxa"/>
              <w:bottom w:w="0" w:type="dxa"/>
            </w:tcMar>
            <w:tcW w:w="8286" w:type="dxa"/>
            <w:vAlign w:val="center"/>
            <w:textDirection w:val="lrTb"/>
            <w:noWrap w:val="false"/>
          </w:tcPr>
          <w:p>
            <w:pPr>
              <w:pStyle w:val="779"/>
              <w:ind w:left="0" w:right="0"/>
              <w:jc w:val="both"/>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bCs/>
                <w:i w:val="0"/>
                <w:iCs w:val="0"/>
                <w:color w:val="000000"/>
                <w:spacing w:val="0"/>
                <w:sz w:val="22"/>
                <w:szCs w:val="22"/>
                <w:highlight w:val="none"/>
                <w:vertAlign w:val="baseline"/>
              </w:rPr>
              <w:t xml:space="preserve">1、项目理解及分析（6分）</w:t>
            </w:r>
            <w:r>
              <w:rPr>
                <w:rFonts w:hint="eastAsia" w:ascii="宋体" w:hAnsi="宋体" w:eastAsia="宋体" w:cs="宋体"/>
                <w:b w:val="0"/>
                <w:bCs w:val="0"/>
                <w:i w:val="0"/>
                <w:iCs w:val="0"/>
                <w:color w:val="000000"/>
                <w:spacing w:val="0"/>
                <w:sz w:val="22"/>
                <w:szCs w:val="22"/>
                <w:highlight w:val="none"/>
                <w:vertAlign w:val="baseline"/>
              </w:rPr>
              <w:t xml:space="preserve">：对投标人方案中项目理解及分析的完整性和准确性进行评价。</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至少包含</w:t>
            </w:r>
            <w:r>
              <w:rPr>
                <w:rFonts w:hint="eastAsia" w:ascii="宋体" w:hAnsi="宋体" w:eastAsia="宋体" w:cs="宋体"/>
                <w:b w:val="0"/>
                <w:bCs w:val="0"/>
                <w:i w:val="0"/>
                <w:iCs w:val="0"/>
                <w:color w:val="000000"/>
                <w:spacing w:val="0"/>
                <w:sz w:val="22"/>
                <w:szCs w:val="22"/>
                <w:highlight w:val="none"/>
                <w:vertAlign w:val="baseline"/>
              </w:rPr>
              <w:t xml:space="preserve">建设背景、现状分析、需求分析等。方案优于招标要求</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得6分；方案满足招标要求</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得4分；不符合要求或未提供的不得分。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jc w:val="both"/>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jc w:val="both"/>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bCs/>
                <w:i w:val="0"/>
                <w:iCs w:val="0"/>
                <w:color w:val="000000"/>
                <w:spacing w:val="0"/>
                <w:sz w:val="22"/>
                <w:szCs w:val="22"/>
                <w:highlight w:val="none"/>
                <w:vertAlign w:val="baseline"/>
              </w:rPr>
              <w:t xml:space="preserve">2、总体技术方案(</w:t>
            </w:r>
            <w:r>
              <w:rPr>
                <w:rFonts w:hint="eastAsia" w:ascii="宋体" w:hAnsi="宋体" w:eastAsia="宋体" w:cs="宋体"/>
                <w:b/>
                <w:bCs/>
                <w:i w:val="0"/>
                <w:iCs w:val="0"/>
                <w:color w:val="000000"/>
                <w:spacing w:val="0"/>
                <w:sz w:val="22"/>
                <w:szCs w:val="22"/>
                <w:highlight w:val="none"/>
                <w:vertAlign w:val="baseline"/>
                <w:lang w:val="en-US" w:eastAsia="zh-CN"/>
              </w:rPr>
              <w:t xml:space="preserve">8</w:t>
            </w:r>
            <w:r>
              <w:rPr>
                <w:rFonts w:hint="eastAsia" w:ascii="宋体" w:hAnsi="宋体" w:eastAsia="宋体" w:cs="宋体"/>
                <w:b/>
                <w:bCs/>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rPr>
              <w:t xml:space="preserve">：对投标人方案中总体技术方案的合理性和完整性进行评价。</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至少包含</w:t>
            </w:r>
            <w:r>
              <w:rPr>
                <w:rFonts w:hint="eastAsia" w:ascii="宋体" w:hAnsi="宋体" w:eastAsia="宋体" w:cs="宋体"/>
                <w:b w:val="0"/>
                <w:bCs w:val="0"/>
                <w:i w:val="0"/>
                <w:iCs w:val="0"/>
                <w:color w:val="000000"/>
                <w:spacing w:val="0"/>
                <w:sz w:val="22"/>
                <w:szCs w:val="22"/>
                <w:highlight w:val="none"/>
                <w:vertAlign w:val="baseline"/>
              </w:rPr>
              <w:t xml:space="preserve">总体架构、数据架构、数据更新机制、关键技术等。</w:t>
            </w:r>
            <w:r>
              <w:rPr>
                <w:rFonts w:hint="eastAsia" w:ascii="宋体" w:hAnsi="宋体" w:eastAsia="宋体" w:cs="宋体"/>
                <w:b w:val="0"/>
                <w:bCs w:val="0"/>
                <w:i w:val="0"/>
                <w:iCs w:val="0"/>
                <w:color w:val="000000"/>
                <w:spacing w:val="0"/>
                <w:sz w:val="22"/>
                <w:szCs w:val="22"/>
                <w:highlight w:val="none"/>
                <w:vertAlign w:val="baseline"/>
              </w:rPr>
              <w:t xml:space="preserve">方案优于招标要求</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8</w:t>
            </w:r>
            <w:r>
              <w:rPr>
                <w:rFonts w:hint="eastAsia" w:ascii="宋体" w:hAnsi="宋体" w:eastAsia="宋体" w:cs="宋体"/>
                <w:b w:val="0"/>
                <w:bCs w:val="0"/>
                <w:i w:val="0"/>
                <w:iCs w:val="0"/>
                <w:color w:val="000000"/>
                <w:spacing w:val="0"/>
                <w:sz w:val="22"/>
                <w:szCs w:val="22"/>
                <w:highlight w:val="none"/>
                <w:vertAlign w:val="baseline"/>
              </w:rPr>
              <w:t xml:space="preserve">分；方案满足招标要求</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6</w:t>
            </w:r>
            <w:r>
              <w:rPr>
                <w:rFonts w:hint="eastAsia" w:ascii="宋体" w:hAnsi="宋体" w:eastAsia="宋体" w:cs="宋体"/>
                <w:b w:val="0"/>
                <w:bCs w:val="0"/>
                <w:i w:val="0"/>
                <w:iCs w:val="0"/>
                <w:color w:val="000000"/>
                <w:spacing w:val="0"/>
                <w:sz w:val="22"/>
                <w:szCs w:val="22"/>
                <w:highlight w:val="none"/>
                <w:vertAlign w:val="baseline"/>
              </w:rPr>
              <w:t xml:space="preserve">分</w:t>
            </w:r>
            <w:r>
              <w:rPr>
                <w:rFonts w:hint="eastAsia" w:ascii="宋体" w:hAnsi="宋体" w:eastAsia="宋体" w:cs="宋体"/>
                <w:b w:val="0"/>
                <w:bCs w:val="0"/>
                <w:i w:val="0"/>
                <w:iCs w:val="0"/>
                <w:color w:val="000000"/>
                <w:spacing w:val="0"/>
                <w:sz w:val="22"/>
                <w:szCs w:val="22"/>
                <w:highlight w:val="none"/>
                <w:vertAlign w:val="baseline"/>
              </w:rPr>
              <w:t xml:space="preserve">；不符合要求或未提供的不得分。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firstLine="42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p>
            <w:pPr>
              <w:pStyle w:val="779"/>
              <w:ind w:left="0" w:right="0"/>
              <w:jc w:val="both"/>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bCs/>
                <w:i w:val="0"/>
                <w:iCs w:val="0"/>
                <w:color w:val="000000"/>
                <w:spacing w:val="0"/>
                <w:sz w:val="22"/>
                <w:szCs w:val="22"/>
                <w:highlight w:val="none"/>
                <w:vertAlign w:val="baseline"/>
              </w:rPr>
              <w:t xml:space="preserve">3、项目建设方案（12分）：</w:t>
            </w:r>
            <w:r>
              <w:rPr>
                <w:rFonts w:hint="eastAsia" w:ascii="宋体" w:hAnsi="宋体" w:eastAsia="宋体" w:cs="宋体"/>
                <w:b w:val="0"/>
                <w:bCs w:val="0"/>
                <w:i w:val="0"/>
                <w:iCs w:val="0"/>
                <w:color w:val="000000"/>
                <w:spacing w:val="0"/>
                <w:sz w:val="22"/>
                <w:szCs w:val="22"/>
                <w:highlight w:val="none"/>
                <w:vertAlign w:val="baseline"/>
              </w:rPr>
              <w:t xml:space="preserve">对投标人方案中项目建设方案的准确性和完整性进行评价。</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至少包含</w:t>
            </w:r>
            <w:r>
              <w:rPr>
                <w:rFonts w:hint="eastAsia" w:ascii="宋体" w:hAnsi="宋体" w:eastAsia="宋体" w:cs="宋体"/>
                <w:b w:val="0"/>
                <w:bCs w:val="0"/>
                <w:i w:val="0"/>
                <w:iCs w:val="0"/>
                <w:color w:val="000000"/>
                <w:spacing w:val="0"/>
                <w:sz w:val="22"/>
                <w:szCs w:val="22"/>
                <w:highlight w:val="none"/>
                <w:vertAlign w:val="baseline"/>
              </w:rPr>
              <w:t xml:space="preserve">盐城市地下管线信息化技术要求和运行管理制度制定、盐城市地下管线数据治理、盐城市地下管线信息管理系统建设、基础软硬件采购等，每个功能需提供与需求吻合的系统截图，须符合本项目实际情况。</w:t>
            </w:r>
            <w:r>
              <w:rPr>
                <w:rFonts w:hint="eastAsia" w:ascii="宋体" w:hAnsi="宋体" w:eastAsia="宋体" w:cs="宋体"/>
                <w:b w:val="0"/>
                <w:bCs w:val="0"/>
                <w:i w:val="0"/>
                <w:iCs w:val="0"/>
                <w:color w:val="000000"/>
                <w:spacing w:val="0"/>
                <w:sz w:val="22"/>
                <w:szCs w:val="22"/>
                <w:highlight w:val="none"/>
                <w:vertAlign w:val="baseline"/>
              </w:rPr>
              <w:t xml:space="preserve">方案优于招标要求</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12</w:t>
            </w:r>
            <w:r>
              <w:rPr>
                <w:rFonts w:hint="eastAsia" w:ascii="宋体" w:hAnsi="宋体" w:eastAsia="宋体" w:cs="宋体"/>
                <w:b w:val="0"/>
                <w:bCs w:val="0"/>
                <w:i w:val="0"/>
                <w:iCs w:val="0"/>
                <w:color w:val="000000"/>
                <w:spacing w:val="0"/>
                <w:sz w:val="22"/>
                <w:szCs w:val="22"/>
                <w:highlight w:val="none"/>
                <w:vertAlign w:val="baseline"/>
              </w:rPr>
              <w:t xml:space="preserve">分；方案满足招标要求</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10</w:t>
            </w:r>
            <w:r>
              <w:rPr>
                <w:rFonts w:hint="eastAsia" w:ascii="宋体" w:hAnsi="宋体" w:eastAsia="宋体" w:cs="宋体"/>
                <w:b w:val="0"/>
                <w:bCs w:val="0"/>
                <w:i w:val="0"/>
                <w:iCs w:val="0"/>
                <w:color w:val="000000"/>
                <w:spacing w:val="0"/>
                <w:sz w:val="22"/>
                <w:szCs w:val="22"/>
                <w:highlight w:val="none"/>
                <w:vertAlign w:val="baseline"/>
              </w:rPr>
              <w:t xml:space="preserve">分；不符合要求或未提供的不得分。</w:t>
            </w:r>
            <w:r>
              <w:rPr>
                <w:rFonts w:hint="eastAsia" w:ascii="宋体" w:hAnsi="宋体" w:eastAsia="宋体" w:cs="宋体"/>
                <w:b w:val="0"/>
                <w:bCs w:val="0"/>
                <w:i w:val="0"/>
                <w:iCs w:val="0"/>
                <w:color w:val="000000"/>
                <w:spacing w:val="0"/>
                <w:sz w:val="22"/>
                <w:szCs w:val="22"/>
                <w:highlight w:val="none"/>
                <w:vertAlign w:val="baseline"/>
              </w:rPr>
            </w:r>
            <w:r/>
          </w:p>
          <w:p>
            <w:pPr>
              <w:pStyle w:val="779"/>
              <w:ind w:left="0" w:right="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p>
            <w:pPr>
              <w:pStyle w:val="779"/>
              <w:ind w:left="0" w:right="0"/>
              <w:jc w:val="both"/>
              <w:keepLines w:val="0"/>
              <w:keepNext w:val="0"/>
              <w:spacing w:before="0" w:beforeAutospacing="0" w:after="0" w:afterAutospacing="0" w:line="23" w:lineRule="atLeast"/>
              <w:widowControl/>
              <w:rPr>
                <w:rFonts w:hint="eastAsia" w:ascii="宋体" w:hAnsi="宋体" w:eastAsia="宋体" w:cs="宋体"/>
                <w:b w:val="0"/>
                <w:bCs w:val="0"/>
                <w:i w:val="0"/>
                <w:iCs w:val="0"/>
                <w:color w:val="000000"/>
                <w:spacing w:val="0"/>
                <w:sz w:val="22"/>
                <w:szCs w:val="22"/>
                <w:highlight w:val="none"/>
                <w:vertAlign w:val="baseline"/>
              </w:rPr>
              <w:suppressLineNumbers w:val="0"/>
            </w:pPr>
            <w:r>
              <w:rPr>
                <w:rFonts w:hint="eastAsia" w:ascii="宋体" w:hAnsi="宋体" w:eastAsia="宋体" w:cs="宋体"/>
                <w:b/>
                <w:bCs/>
                <w:i w:val="0"/>
                <w:iCs w:val="0"/>
                <w:color w:val="000000"/>
                <w:spacing w:val="0"/>
                <w:sz w:val="22"/>
                <w:szCs w:val="22"/>
                <w:highlight w:val="none"/>
                <w:vertAlign w:val="baseline"/>
              </w:rPr>
              <w:t xml:space="preserve">4、进度安排及保障（6分）：</w:t>
            </w:r>
            <w:r>
              <w:rPr>
                <w:rFonts w:hint="eastAsia" w:ascii="宋体" w:hAnsi="宋体" w:eastAsia="宋体" w:cs="宋体"/>
                <w:b w:val="0"/>
                <w:bCs w:val="0"/>
                <w:i w:val="0"/>
                <w:iCs w:val="0"/>
                <w:color w:val="000000"/>
                <w:spacing w:val="0"/>
                <w:sz w:val="22"/>
                <w:szCs w:val="22"/>
                <w:highlight w:val="none"/>
                <w:vertAlign w:val="baseline"/>
              </w:rPr>
              <w:t xml:space="preserve">对投标人方案中进度安排及保障的完整性、科学性和合理性进行评价。</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至少包含</w:t>
            </w:r>
            <w:r>
              <w:rPr>
                <w:rFonts w:hint="eastAsia" w:ascii="宋体" w:hAnsi="宋体" w:eastAsia="宋体" w:cs="宋体"/>
                <w:b w:val="0"/>
                <w:bCs w:val="0"/>
                <w:i w:val="0"/>
                <w:iCs w:val="0"/>
                <w:color w:val="000000"/>
                <w:spacing w:val="0"/>
                <w:sz w:val="22"/>
                <w:szCs w:val="22"/>
                <w:highlight w:val="none"/>
                <w:vertAlign w:val="baseline"/>
              </w:rPr>
              <w:t xml:space="preserve">项目的实施进度安排、项目实施计划措施、培训计划、人员配置、项目风险管控、质量保证措施</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及</w:t>
            </w:r>
            <w:r>
              <w:rPr>
                <w:rFonts w:hint="eastAsia" w:ascii="宋体" w:hAnsi="宋体" w:eastAsia="宋体" w:cs="宋体"/>
                <w:b w:val="0"/>
                <w:bCs w:val="0"/>
                <w:i w:val="0"/>
                <w:iCs w:val="0"/>
                <w:color w:val="000000"/>
                <w:spacing w:val="0"/>
                <w:sz w:val="22"/>
                <w:szCs w:val="22"/>
                <w:highlight w:val="none"/>
                <w:vertAlign w:val="baseline"/>
              </w:rPr>
              <w:t xml:space="preserve">运维保障措施等</w:t>
            </w:r>
            <w:r>
              <w:rPr>
                <w:rFonts w:hint="eastAsia" w:ascii="宋体" w:hAnsi="宋体" w:eastAsia="宋体" w:cs="宋体"/>
                <w:b w:val="0"/>
                <w:bCs w:val="0"/>
                <w:i w:val="0"/>
                <w:iCs w:val="0"/>
                <w:color w:val="000000"/>
                <w:spacing w:val="0"/>
                <w:sz w:val="22"/>
                <w:szCs w:val="22"/>
                <w:highlight w:val="none"/>
                <w:vertAlign w:val="baseline"/>
                <w:lang w:eastAsia="zh-CN"/>
              </w:rPr>
              <w:t xml:space="preserve">。</w:t>
            </w:r>
            <w:r>
              <w:rPr>
                <w:rFonts w:hint="eastAsia" w:ascii="宋体" w:hAnsi="宋体" w:eastAsia="宋体" w:cs="宋体"/>
                <w:b w:val="0"/>
                <w:bCs w:val="0"/>
                <w:i w:val="0"/>
                <w:iCs w:val="0"/>
                <w:color w:val="000000"/>
                <w:spacing w:val="0"/>
                <w:sz w:val="22"/>
                <w:szCs w:val="22"/>
                <w:highlight w:val="none"/>
                <w:vertAlign w:val="baseline"/>
              </w:rPr>
              <w:t xml:space="preserve">方案优于招标要求</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得6分；方案满足招标要求</w:t>
            </w:r>
            <w:r>
              <w:rPr>
                <w:rFonts w:hint="eastAsia" w:ascii="宋体" w:hAnsi="宋体" w:eastAsia="宋体" w:cs="宋体"/>
                <w:b w:val="0"/>
                <w:bCs w:val="0"/>
                <w:i w:val="0"/>
                <w:iCs w:val="0"/>
                <w:color w:val="000000"/>
                <w:spacing w:val="0"/>
                <w:sz w:val="22"/>
                <w:szCs w:val="22"/>
                <w:highlight w:val="none"/>
                <w:vertAlign w:val="baseline"/>
                <w:lang w:val="en-US" w:eastAsia="zh-CN"/>
              </w:rPr>
              <w:t xml:space="preserve">的</w:t>
            </w:r>
            <w:r>
              <w:rPr>
                <w:rFonts w:hint="eastAsia" w:ascii="宋体" w:hAnsi="宋体" w:eastAsia="宋体" w:cs="宋体"/>
                <w:b w:val="0"/>
                <w:bCs w:val="0"/>
                <w:i w:val="0"/>
                <w:iCs w:val="0"/>
                <w:color w:val="000000"/>
                <w:spacing w:val="0"/>
                <w:sz w:val="22"/>
                <w:szCs w:val="22"/>
                <w:highlight w:val="none"/>
                <w:vertAlign w:val="baseline"/>
              </w:rPr>
              <w:t xml:space="preserve">得4分；不符合要求或未提供的不得分。</w:t>
            </w:r>
            <w:r>
              <w:rPr>
                <w:rFonts w:hint="eastAsia" w:ascii="宋体" w:hAnsi="宋体" w:eastAsia="宋体" w:cs="宋体"/>
                <w:b w:val="0"/>
                <w:bCs w:val="0"/>
                <w:i w:val="0"/>
                <w:iCs w:val="0"/>
                <w:color w:val="000000"/>
                <w:spacing w:val="0"/>
                <w:sz w:val="22"/>
                <w:szCs w:val="22"/>
                <w:highlight w:val="none"/>
                <w:vertAlign w:val="baseline"/>
              </w:rPr>
            </w:r>
            <w:r/>
          </w:p>
          <w:p>
            <w:pPr>
              <w:pStyle w:val="779"/>
              <w:ind w:right="0"/>
              <w:jc w:val="both"/>
              <w:keepLines w:val="0"/>
              <w:keepNext w:val="0"/>
              <w:spacing w:before="0" w:beforeAutospacing="0" w:after="0" w:afterAutospacing="0" w:line="23" w:lineRule="atLeast"/>
              <w:widowControl/>
              <w:rPr>
                <w:highlight w:val="none"/>
              </w:rPr>
              <w:suppressLineNumbers w:val="0"/>
            </w:pPr>
            <w:r>
              <w:rPr>
                <w:rFonts w:hint="eastAsia" w:ascii="宋体" w:hAnsi="宋体" w:eastAsia="宋体" w:cs="宋体"/>
                <w:b w:val="0"/>
                <w:bCs w:val="0"/>
                <w:i w:val="0"/>
                <w:iCs w:val="0"/>
                <w:color w:val="000000"/>
                <w:spacing w:val="0"/>
                <w:sz w:val="22"/>
                <w:szCs w:val="22"/>
                <w:highlight w:val="none"/>
                <w:vertAlign w:val="baseli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bl>
    <w:p>
      <w:pPr>
        <w:pStyle w:val="737"/>
        <w:rPr>
          <w:rFonts w:hint="eastAsia"/>
          <w:highlight w:val="none"/>
        </w:rPr>
      </w:pPr>
      <w:r>
        <w:rPr>
          <w:rFonts w:hint="eastAsia"/>
          <w:highlight w:val="none"/>
        </w:rPr>
      </w:r>
      <w:r/>
    </w:p>
    <w:p>
      <w:pPr>
        <w:pStyle w:val="775"/>
        <w:ind w:left="3360"/>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91"/>
        <w:ind w:firstLine="0"/>
        <w:rPr>
          <w:rFonts w:hint="eastAsia" w:eastAsia="宋体"/>
          <w:highlight w:val="none"/>
        </w:rPr>
      </w:pPr>
      <w:r>
        <w:rPr>
          <w:rFonts w:hint="eastAsia" w:eastAsia="宋体"/>
          <w:highlight w:val="none"/>
        </w:rPr>
      </w:r>
      <w:r/>
    </w:p>
    <w:p>
      <w:pPr>
        <w:pStyle w:val="737"/>
        <w:rPr>
          <w:rFonts w:hint="eastAsia" w:eastAsia="宋体"/>
          <w:highlight w:val="none"/>
        </w:rPr>
      </w:pPr>
      <w:r>
        <w:rPr>
          <w:rFonts w:hint="eastAsia" w:eastAsia="宋体"/>
          <w:highlight w:val="none"/>
        </w:rPr>
      </w:r>
      <w:r/>
    </w:p>
    <w:p>
      <w:pPr>
        <w:pStyle w:val="779"/>
        <w:spacing w:beforeAutospacing="0" w:afterAutospacing="0" w:line="800" w:lineRule="exact"/>
        <w:rPr>
          <w:rFonts w:ascii="宋体" w:hAnsi="宋体" w:eastAsia="宋体" w:cs="宋体"/>
          <w:highlight w:val="none"/>
        </w:rPr>
      </w:pPr>
      <w:r/>
      <w:r/>
      <w:r/>
      <w:r/>
      <w:r/>
      <w:r/>
      <w:r/>
      <w:r/>
      <w:r/>
      <w:r/>
      <w:r/>
      <w:r>
        <w:rPr>
          <w:rFonts w:ascii="宋体" w:hAnsi="宋体" w:eastAsia="宋体" w:cs="宋体"/>
          <w:highlight w:val="none"/>
        </w:rPr>
        <w:br w:type="page" w:clear="all"/>
      </w:r>
      <w:r>
        <w:rPr>
          <w:rFonts w:ascii="宋体" w:hAnsi="宋体" w:eastAsia="宋体" w:cs="宋体"/>
          <w:highlight w:val="none"/>
        </w:rPr>
      </w:r>
      <w:r/>
    </w:p>
    <w:p>
      <w:pPr>
        <w:pStyle w:val="779"/>
        <w:jc w:val="center"/>
        <w:keepNext/>
        <w:spacing w:beforeAutospacing="0" w:afterAutospacing="0" w:line="800" w:lineRule="exact"/>
        <w:rPr>
          <w:rFonts w:hint="eastAsia" w:ascii="宋体" w:hAnsi="宋体" w:eastAsia="宋体" w:cs="宋体"/>
          <w:color w:val="000000"/>
          <w:sz w:val="44"/>
          <w:szCs w:val="44"/>
          <w:highlight w:val="none"/>
        </w:rPr>
      </w:pPr>
      <w:r>
        <w:rPr>
          <w:rFonts w:hint="eastAsia"/>
          <w:highlight w:val="none"/>
        </w:rPr>
        <w:t xml:space="preserve"> </w:t>
      </w:r>
      <w:r>
        <w:rPr>
          <w:rFonts w:hint="eastAsia" w:ascii="宋体" w:hAnsi="宋体" w:eastAsia="宋体" w:cs="宋体"/>
          <w:color w:val="000000"/>
          <w:sz w:val="44"/>
          <w:szCs w:val="44"/>
          <w:highlight w:val="none"/>
        </w:rPr>
        <w:t xml:space="preserve">第六章  投标文件格式</w:t>
      </w:r>
      <w:bookmarkStart w:id="211" w:name="_Hlt26955039"/>
      <w:r/>
      <w:bookmarkEnd w:id="211"/>
      <w:r/>
      <w:bookmarkStart w:id="212" w:name="_Toc26554094"/>
      <w:r/>
      <w:bookmarkEnd w:id="212"/>
      <w:r/>
      <w:bookmarkStart w:id="213" w:name="_Hlt26671244"/>
      <w:r/>
      <w:bookmarkEnd w:id="213"/>
      <w:r>
        <w:rPr>
          <w:rFonts w:hint="eastAsia" w:ascii="宋体" w:hAnsi="宋体" w:eastAsia="宋体" w:cs="宋体"/>
          <w:color w:val="000000"/>
          <w:sz w:val="44"/>
          <w:szCs w:val="44"/>
          <w:highlight w:val="none"/>
        </w:rPr>
      </w:r>
      <w:r/>
    </w:p>
    <w:p>
      <w:pPr>
        <w:pStyle w:val="779"/>
        <w:jc w:val="center"/>
        <w:spacing w:beforeAutospacing="0" w:afterAutospacing="0" w:line="800" w:lineRule="exact"/>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79"/>
        <w:jc w:val="center"/>
        <w:spacing w:beforeAutospacing="0" w:afterAutospacing="0" w:line="800" w:lineRule="exact"/>
        <w:rPr>
          <w:rFonts w:ascii="宋体" w:hAnsi="宋体" w:eastAsia="宋体" w:cs="宋体"/>
          <w:highlight w:val="none"/>
        </w:rPr>
      </w:pPr>
      <w:r>
        <w:rPr>
          <w:rFonts w:hint="eastAsia" w:ascii="宋体" w:hAnsi="宋体" w:eastAsia="宋体" w:cs="宋体"/>
          <w:b/>
          <w:color w:val="000000"/>
          <w:sz w:val="72"/>
          <w:szCs w:val="72"/>
          <w:highlight w:val="none"/>
        </w:rPr>
        <w:t xml:space="preserve">投  标  文  件</w:t>
      </w:r>
      <w:r>
        <w:rPr>
          <w:rFonts w:ascii="宋体" w:hAnsi="宋体" w:eastAsia="宋体" w:cs="宋体"/>
          <w:highlight w:val="none"/>
        </w:rPr>
      </w:r>
      <w:r/>
    </w:p>
    <w:p>
      <w:pPr>
        <w:pStyle w:val="779"/>
        <w:jc w:val="center"/>
        <w:spacing w:beforeAutospacing="0" w:afterAutospacing="0" w:line="8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8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8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8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firstLine="1084"/>
        <w:spacing w:beforeAutospacing="0" w:afterAutospacing="0" w:line="800" w:lineRule="exact"/>
        <w:rPr>
          <w:rFonts w:ascii="宋体" w:hAnsi="宋体" w:eastAsia="宋体" w:cs="宋体"/>
          <w:highlight w:val="none"/>
        </w:rPr>
      </w:pPr>
      <w:r>
        <w:rPr>
          <w:rFonts w:hint="eastAsia" w:ascii="宋体" w:hAnsi="宋体" w:eastAsia="宋体" w:cs="宋体"/>
          <w:b/>
          <w:color w:val="000000"/>
          <w:sz w:val="36"/>
          <w:szCs w:val="36"/>
          <w:highlight w:val="none"/>
        </w:rPr>
        <w:t xml:space="preserve">项 目 名称：</w:t>
      </w:r>
      <w:r>
        <w:rPr>
          <w:rFonts w:hint="eastAsia" w:ascii="宋体" w:hAnsi="宋体" w:eastAsia="宋体" w:cs="宋体"/>
          <w:b/>
          <w:color w:val="000000"/>
          <w:sz w:val="36"/>
          <w:szCs w:val="36"/>
          <w:highlight w:val="none"/>
          <w:u w:val="single"/>
        </w:rPr>
        <w:t xml:space="preserve">              </w:t>
      </w:r>
      <w:r>
        <w:rPr>
          <w:rFonts w:ascii="宋体" w:hAnsi="宋体" w:eastAsia="宋体" w:cs="宋体"/>
          <w:highlight w:val="none"/>
        </w:rPr>
      </w:r>
      <w:r/>
    </w:p>
    <w:p>
      <w:pPr>
        <w:pStyle w:val="779"/>
        <w:ind w:firstLine="1084"/>
        <w:spacing w:beforeAutospacing="0" w:afterAutospacing="0" w:line="800" w:lineRule="exact"/>
        <w:rPr>
          <w:rFonts w:ascii="宋体" w:hAnsi="宋体" w:eastAsia="宋体" w:cs="宋体"/>
          <w:highlight w:val="none"/>
        </w:rPr>
      </w:pPr>
      <w:r>
        <w:rPr>
          <w:rFonts w:hint="eastAsia" w:ascii="宋体" w:hAnsi="宋体" w:eastAsia="宋体" w:cs="宋体"/>
          <w:b/>
          <w:color w:val="000000"/>
          <w:sz w:val="36"/>
          <w:szCs w:val="36"/>
          <w:highlight w:val="none"/>
        </w:rPr>
        <w:t xml:space="preserve">项 目 编号：</w:t>
      </w:r>
      <w:r>
        <w:rPr>
          <w:rFonts w:hint="eastAsia" w:ascii="宋体" w:hAnsi="宋体" w:eastAsia="宋体" w:cs="宋体"/>
          <w:b/>
          <w:color w:val="000000"/>
          <w:sz w:val="36"/>
          <w:szCs w:val="36"/>
          <w:highlight w:val="none"/>
          <w:u w:val="single"/>
        </w:rPr>
        <w:t xml:space="preserve">               </w:t>
      </w:r>
      <w:r>
        <w:rPr>
          <w:rFonts w:ascii="宋体" w:hAnsi="宋体" w:eastAsia="宋体" w:cs="宋体"/>
          <w:highlight w:val="none"/>
        </w:rPr>
      </w:r>
      <w:r/>
    </w:p>
    <w:p>
      <w:pPr>
        <w:pStyle w:val="779"/>
        <w:spacing w:beforeAutospacing="0" w:afterAutospacing="0" w:line="800" w:lineRule="exact"/>
        <w:rPr>
          <w:rFonts w:ascii="宋体" w:hAnsi="宋体" w:eastAsia="宋体" w:cs="宋体"/>
          <w:highlight w:val="none"/>
        </w:rPr>
      </w:pPr>
      <w:r>
        <w:rPr>
          <w:rFonts w:hint="eastAsia" w:ascii="宋体" w:hAnsi="宋体" w:eastAsia="宋体" w:cs="宋体"/>
          <w:b/>
          <w:color w:val="000000"/>
          <w:sz w:val="36"/>
          <w:szCs w:val="36"/>
          <w:highlight w:val="none"/>
        </w:rPr>
        <w:t xml:space="preserve">   投标人名称：</w:t>
      </w:r>
      <w:r>
        <w:rPr>
          <w:rFonts w:hint="eastAsia" w:ascii="宋体" w:hAnsi="宋体" w:eastAsia="宋体" w:cs="宋体"/>
          <w:b/>
          <w:color w:val="000000"/>
          <w:sz w:val="36"/>
          <w:szCs w:val="36"/>
          <w:highlight w:val="none"/>
          <w:u w:val="single"/>
        </w:rPr>
        <w:t xml:space="preserve">（加盖CA电子公章）</w:t>
      </w:r>
      <w:r>
        <w:rPr>
          <w:rFonts w:ascii="宋体" w:hAnsi="宋体" w:eastAsia="宋体" w:cs="宋体"/>
          <w:highlight w:val="none"/>
        </w:rPr>
      </w:r>
      <w:r/>
    </w:p>
    <w:p>
      <w:pPr>
        <w:pStyle w:val="779"/>
        <w:spacing w:beforeAutospacing="0" w:afterAutospacing="0" w:line="800" w:lineRule="exact"/>
        <w:rPr>
          <w:rFonts w:ascii="宋体" w:hAnsi="宋体" w:eastAsia="宋体" w:cs="宋体"/>
          <w:highlight w:val="none"/>
        </w:rPr>
      </w:pPr>
      <w:r>
        <w:rPr>
          <w:rFonts w:hint="eastAsia" w:ascii="宋体" w:hAnsi="宋体" w:eastAsia="宋体" w:cs="宋体"/>
          <w:b/>
          <w:color w:val="000000"/>
          <w:sz w:val="36"/>
          <w:szCs w:val="36"/>
          <w:highlight w:val="none"/>
        </w:rPr>
        <w:t xml:space="preserve">   日   期：</w:t>
      </w:r>
      <w:r>
        <w:rPr>
          <w:rFonts w:hint="eastAsia" w:ascii="宋体" w:hAnsi="宋体" w:eastAsia="宋体" w:cs="宋体"/>
          <w:b/>
          <w:color w:val="000000"/>
          <w:sz w:val="36"/>
          <w:szCs w:val="36"/>
          <w:highlight w:val="none"/>
          <w:u w:val="single"/>
        </w:rPr>
        <w:t xml:space="preserve">           </w:t>
      </w:r>
      <w:r>
        <w:rPr>
          <w:rFonts w:ascii="宋体" w:hAnsi="宋体" w:eastAsia="宋体" w:cs="宋体"/>
          <w:highlight w:val="none"/>
        </w:rPr>
      </w:r>
      <w:r/>
    </w:p>
    <w:p>
      <w:pPr>
        <w:pStyle w:val="779"/>
        <w:jc w:val="center"/>
        <w:spacing w:beforeAutospacing="0" w:afterAutospacing="0" w:line="800" w:lineRule="exac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800" w:lineRule="exac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800" w:lineRule="exac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800" w:lineRule="exact"/>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jc w:val="both"/>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rPr>
          <w:rFonts w:ascii="宋体" w:hAnsi="宋体" w:eastAsia="宋体" w:cs="宋体"/>
          <w:highlight w:val="none"/>
        </w:rPr>
      </w:r>
      <w:r/>
    </w:p>
    <w:p>
      <w:pPr>
        <w:pStyle w:val="779"/>
        <w:jc w:val="center"/>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一、法人或者其他组织的营业执照等证明文件，自然人的身份证明</w:t>
      </w:r>
      <w:r>
        <w:rPr>
          <w:rFonts w:ascii="宋体" w:hAnsi="宋体" w:cs="宋体"/>
          <w:i/>
          <w:highlight w:val="none"/>
          <w:u w:val="single"/>
        </w:rPr>
      </w:r>
      <w:r/>
    </w:p>
    <w:p>
      <w:pPr>
        <w:pStyle w:val="737"/>
        <w:jc w:val="left"/>
        <w:tabs>
          <w:tab w:val="left" w:pos="1331" w:leader="none"/>
        </w:tabs>
        <w:rPr>
          <w:rFonts w:ascii="宋体" w:hAnsi="宋体" w:cs="宋体"/>
          <w:i/>
          <w:sz w:val="24"/>
          <w:highlight w:val="none"/>
          <w:u w:val="single"/>
        </w:rPr>
      </w:pPr>
      <w:r>
        <w:rPr>
          <w:rFonts w:hint="eastAsia" w:ascii="宋体" w:hAnsi="宋体" w:cs="宋体"/>
          <w:i/>
          <w:sz w:val="24"/>
          <w:highlight w:val="none"/>
          <w:u w:val="single"/>
        </w:rPr>
        <w:t xml:space="preserve">二、</w:t>
      </w:r>
      <w:r>
        <w:rPr>
          <w:rFonts w:hint="eastAsia" w:ascii="宋体" w:hAnsi="宋体" w:eastAsia="宋体" w:cs="宋体"/>
          <w:i/>
          <w:sz w:val="24"/>
          <w:highlight w:val="none"/>
          <w:u w:val="single"/>
          <w:lang w:val="en-US" w:eastAsia="zh-CN"/>
        </w:rPr>
        <w:t xml:space="preserve">2</w:t>
      </w:r>
      <w:r>
        <w:rPr>
          <w:rFonts w:hint="eastAsia" w:ascii="宋体" w:hAnsi="宋体" w:eastAsia="宋体" w:cs="宋体"/>
          <w:i/>
          <w:sz w:val="24"/>
          <w:highlight w:val="none"/>
          <w:u w:val="single"/>
          <w:lang w:val="en-US" w:eastAsia="zh-CN"/>
        </w:rPr>
        <w:t xml:space="preserve">024或2025</w:t>
      </w:r>
      <w:r>
        <w:rPr>
          <w:rFonts w:hint="eastAsia" w:ascii="宋体" w:hAnsi="宋体" w:cs="宋体"/>
          <w:i/>
          <w:sz w:val="24"/>
          <w:highlight w:val="none"/>
          <w:u w:val="single"/>
        </w:rPr>
        <w:t xml:space="preserve">年度的财务状况报表（至少提供资产负债表、利润表、现金流量表，</w:t>
      </w:r>
      <w:r>
        <w:rPr>
          <w:rFonts w:ascii="宋体" w:hAnsi="宋体" w:cs="宋体"/>
          <w:i/>
          <w:sz w:val="24"/>
          <w:highlight w:val="none"/>
          <w:u w:val="singl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投标人成立不满一年无需提供）</w:t>
      </w:r>
      <w:r>
        <w:rPr>
          <w:rFonts w:ascii="宋体" w:hAnsi="宋体" w:cs="宋体"/>
          <w:i/>
          <w:highlight w:val="none"/>
          <w:u w:val="singl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三、具备履行合同所必需的设备和专业技术能力的书面声明</w:t>
      </w:r>
      <w:r>
        <w:rPr>
          <w:rFonts w:ascii="宋体" w:hAnsi="宋体" w:cs="宋体"/>
          <w:i/>
          <w:highlight w:val="none"/>
          <w:u w:val="singl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
          <w:highlight w:val="none"/>
          <w:u w:val="singl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五、参加政府采购活动前 3 年内在经营活动中没有重大违法记录的书面声明</w:t>
      </w:r>
      <w:r>
        <w:rPr>
          <w:rFonts w:ascii="宋体" w:hAnsi="宋体" w:cs="宋体"/>
          <w:i/>
          <w:highlight w:val="none"/>
          <w:u w:val="singl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六、特定资格要求的证明文件（如果本项目设置特定资格要求，则需要提供）</w:t>
      </w:r>
      <w:r>
        <w:rPr>
          <w:rFonts w:ascii="宋体" w:hAnsi="宋体" w:cs="宋体"/>
          <w:i/>
          <w:highlight w:val="none"/>
          <w:u w:val="singl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七、法人授权书</w:t>
      </w:r>
      <w:r>
        <w:rPr>
          <w:rFonts w:ascii="宋体" w:hAnsi="宋体" w:cs="宋体"/>
          <w:i/>
          <w:highlight w:val="none"/>
          <w:u w:val="singl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八、投标函</w:t>
      </w:r>
      <w:r>
        <w:rPr>
          <w:rFonts w:ascii="宋体" w:hAnsi="宋体" w:cs="宋体"/>
          <w:i/>
          <w:highlight w:val="none"/>
          <w:u w:val="single"/>
        </w:rPr>
      </w:r>
      <w:r/>
    </w:p>
    <w:p>
      <w:pPr>
        <w:pStyle w:val="834"/>
        <w:jc w:val="both"/>
        <w:spacing w:beforeAutospacing="0" w:afterAutospacing="0" w:line="0" w:lineRule="atLeast"/>
        <w:rPr>
          <w:rFonts w:ascii="宋体" w:hAnsi="宋体" w:cs="宋体"/>
          <w:highlight w:val="none"/>
        </w:rPr>
      </w:pPr>
      <w:r>
        <w:rPr>
          <w:rFonts w:hint="eastAsia" w:ascii="宋体" w:hAnsi="宋体" w:cs="宋体"/>
          <w:highlight w:val="none"/>
        </w:rPr>
        <w:t xml:space="preserve">九、中小微企业声明函</w:t>
      </w:r>
      <w:r>
        <w:rPr>
          <w:rFonts w:ascii="宋体" w:hAnsi="宋体" w:cs="宋体"/>
          <w:highlight w:val="none"/>
        </w:rPr>
      </w:r>
      <w:r/>
    </w:p>
    <w:p>
      <w:pPr>
        <w:pStyle w:val="834"/>
        <w:jc w:val="both"/>
        <w:spacing w:beforeAutospacing="0" w:afterAutospacing="0" w:line="0" w:lineRule="atLeast"/>
        <w:rPr>
          <w:rFonts w:ascii="宋体" w:hAnsi="宋体" w:cs="宋体"/>
          <w:highlight w:val="none"/>
        </w:rPr>
      </w:pPr>
      <w:r>
        <w:rPr>
          <w:rFonts w:hint="eastAsia" w:ascii="宋体" w:hAnsi="宋体" w:cs="宋体"/>
          <w:highlight w:val="none"/>
        </w:rPr>
        <w:t xml:space="preserve">十、残疾人福利性单位声明函</w:t>
      </w:r>
      <w:r>
        <w:rPr>
          <w:rFonts w:ascii="宋体" w:hAnsi="宋体" w:cs="宋体"/>
          <w:highlight w:val="none"/>
        </w:rPr>
      </w:r>
      <w:r/>
    </w:p>
    <w:p>
      <w:pPr>
        <w:pStyle w:val="834"/>
        <w:jc w:val="both"/>
        <w:spacing w:beforeAutospacing="0" w:afterAutospacing="0" w:line="0" w:lineRule="atLeast"/>
        <w:rPr>
          <w:rFonts w:ascii="宋体" w:hAnsi="宋体" w:cs="宋体"/>
          <w:highlight w:val="none"/>
        </w:rPr>
      </w:pPr>
      <w:r>
        <w:rPr>
          <w:rFonts w:hint="eastAsia" w:ascii="宋体" w:hAnsi="宋体" w:cs="宋体"/>
          <w:highlight w:val="none"/>
        </w:rPr>
        <w:t xml:space="preserve">十一、联合体协议</w:t>
      </w:r>
      <w:r>
        <w:rPr>
          <w:rFonts w:ascii="宋体" w:hAnsi="宋体" w:cs="宋体"/>
          <w:highlight w:val="none"/>
        </w:rPr>
      </w:r>
      <w:r/>
    </w:p>
    <w:p>
      <w:pPr>
        <w:pStyle w:val="834"/>
        <w:jc w:val="both"/>
        <w:spacing w:beforeAutospacing="0" w:afterAutospacing="0" w:line="0" w:lineRule="atLeast"/>
        <w:rPr>
          <w:rFonts w:ascii="宋体" w:hAnsi="宋体" w:cs="宋体"/>
          <w:highlight w:val="none"/>
        </w:rPr>
      </w:pPr>
      <w:r>
        <w:rPr>
          <w:rFonts w:hint="eastAsia" w:ascii="宋体" w:hAnsi="宋体" w:cs="宋体"/>
          <w:highlight w:val="none"/>
        </w:rPr>
        <w:t xml:space="preserve">十二、投标分项报价表</w:t>
      </w:r>
      <w:r>
        <w:rPr>
          <w:rFonts w:ascii="宋体" w:hAnsi="宋体" w:cs="宋体"/>
          <w:highlight w:val="none"/>
        </w:rPr>
      </w:r>
      <w:r/>
    </w:p>
    <w:p>
      <w:pPr>
        <w:pStyle w:val="834"/>
        <w:jc w:val="both"/>
        <w:spacing w:beforeAutospacing="0" w:afterAutospacing="0" w:line="0" w:lineRule="atLeast"/>
        <w:rPr>
          <w:rFonts w:ascii="宋体" w:hAnsi="宋体" w:cs="宋体"/>
          <w:highlight w:val="none"/>
        </w:rPr>
      </w:pPr>
      <w:r>
        <w:rPr>
          <w:rFonts w:hint="eastAsia" w:ascii="宋体" w:hAnsi="宋体" w:cs="宋体"/>
          <w:highlight w:val="none"/>
        </w:rPr>
        <w:t xml:space="preserve">十三、技术要求响应及偏离表</w:t>
      </w:r>
      <w:r>
        <w:rPr>
          <w:rFonts w:ascii="宋体" w:hAnsi="宋体" w:cs="宋体"/>
          <w:highlight w:val="none"/>
        </w:rPr>
      </w:r>
      <w:r/>
    </w:p>
    <w:p>
      <w:pPr>
        <w:pStyle w:val="834"/>
        <w:jc w:val="both"/>
        <w:spacing w:beforeAutospacing="0" w:afterAutospacing="0" w:line="0" w:lineRule="atLeast"/>
        <w:rPr>
          <w:rFonts w:ascii="宋体" w:hAnsi="宋体" w:cs="宋体"/>
          <w:highlight w:val="none"/>
        </w:rPr>
      </w:pPr>
      <w:r>
        <w:rPr>
          <w:rFonts w:hint="eastAsia" w:ascii="宋体" w:hAnsi="宋体" w:cs="宋体"/>
          <w:highlight w:val="none"/>
        </w:rPr>
        <w:t xml:space="preserve">十四、商务要求响应及偏离表</w:t>
      </w:r>
      <w:r>
        <w:rPr>
          <w:rFonts w:ascii="宋体" w:hAnsi="宋体" w:cs="宋体"/>
          <w:highlight w:val="none"/>
        </w:rPr>
      </w:r>
      <w:r/>
    </w:p>
    <w:p>
      <w:pPr>
        <w:pStyle w:val="834"/>
        <w:jc w:val="both"/>
        <w:spacing w:beforeAutospacing="0" w:afterAutospacing="0"/>
        <w:rPr>
          <w:rFonts w:ascii="宋体" w:hAnsi="宋体" w:cs="宋体"/>
          <w:i/>
          <w:highlight w:val="none"/>
          <w:u w:val="single"/>
        </w:rPr>
      </w:pPr>
      <w:r>
        <w:rPr>
          <w:rFonts w:hint="eastAsia" w:ascii="宋体" w:hAnsi="宋体" w:cs="宋体"/>
          <w:i/>
          <w:highlight w:val="none"/>
          <w:u w:val="single"/>
        </w:rPr>
        <w:t xml:space="preserve">十五、开标一览表</w:t>
      </w:r>
      <w:r>
        <w:rPr>
          <w:rFonts w:ascii="宋体" w:hAnsi="宋体" w:cs="宋体"/>
          <w:i/>
          <w:highlight w:val="none"/>
          <w:u w:val="single"/>
        </w:rPr>
      </w:r>
      <w:r/>
    </w:p>
    <w:p>
      <w:pPr>
        <w:pStyle w:val="737"/>
        <w:spacing w:before="50" w:after="50"/>
        <w:widowControl/>
        <w:rPr>
          <w:rFonts w:ascii="宋体" w:hAnsi="宋体" w:cs="宋体"/>
          <w:sz w:val="24"/>
          <w:highlight w:val="none"/>
        </w:rPr>
      </w:pPr>
      <w:r>
        <w:rPr>
          <w:rFonts w:hint="eastAsia" w:ascii="宋体" w:hAnsi="宋体" w:cs="宋体"/>
          <w:sz w:val="24"/>
          <w:highlight w:val="none"/>
        </w:rPr>
        <w:t xml:space="preserve">十六、技术方案、服务承诺、培训承诺等</w:t>
      </w:r>
      <w:r>
        <w:rPr>
          <w:rFonts w:ascii="宋体" w:hAnsi="宋体" w:cs="宋体"/>
          <w:sz w:val="24"/>
          <w:highlight w:val="none"/>
        </w:rPr>
      </w:r>
      <w:r/>
    </w:p>
    <w:p>
      <w:pPr>
        <w:pStyle w:val="834"/>
        <w:jc w:val="both"/>
        <w:spacing w:beforeAutospacing="0" w:afterAutospacing="0" w:line="360" w:lineRule="auto"/>
        <w:rPr>
          <w:rFonts w:ascii="宋体" w:hAnsi="宋体" w:cs="宋体"/>
          <w:highlight w:val="none"/>
        </w:rPr>
      </w:pPr>
      <w:r>
        <w:rPr>
          <w:rFonts w:hint="eastAsia" w:ascii="宋体" w:hAnsi="宋体" w:cs="宋体"/>
          <w:highlight w:val="none"/>
        </w:rPr>
        <w:t xml:space="preserve">十七、盐城市政府采购事前信用承诺书</w:t>
      </w:r>
      <w:r>
        <w:rPr>
          <w:rFonts w:ascii="宋体" w:hAnsi="宋体" w:cs="宋体"/>
          <w:highlight w:val="none"/>
        </w:rPr>
      </w:r>
      <w:r/>
    </w:p>
    <w:p>
      <w:pPr>
        <w:pStyle w:val="834"/>
        <w:ind w:firstLine="480"/>
        <w:jc w:val="both"/>
        <w:spacing w:beforeAutospacing="0" w:afterAutospacing="0" w:line="0" w:lineRule="atLeast"/>
        <w:rPr>
          <w:highlight w:val="none"/>
        </w:rPr>
      </w:pPr>
      <w:r>
        <w:rPr>
          <w:highlight w:val="none"/>
        </w:rPr>
        <w:t xml:space="preserve"> </w:t>
      </w:r>
      <w:r>
        <w:rPr>
          <w:highlight w:val="none"/>
        </w:rPr>
      </w:r>
      <w:r/>
    </w:p>
    <w:p>
      <w:pPr>
        <w:pStyle w:val="737"/>
        <w:jc w:val="left"/>
        <w:widowControl/>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i/>
          <w:sz w:val="32"/>
          <w:szCs w:val="32"/>
          <w:highlight w:val="none"/>
          <w:u w:val="single"/>
        </w:rPr>
      </w:r>
      <w:r>
        <w:rPr>
          <w:rFonts w:hint="eastAsia" w:ascii="黑体" w:hAnsi="宋体" w:eastAsia="黑体" w:cs="黑体"/>
          <w:i/>
          <w:sz w:val="32"/>
          <w:szCs w:val="32"/>
          <w:highlight w:val="none"/>
          <w:u w:val="single"/>
        </w:rPr>
      </w:r>
      <w:r/>
    </w:p>
    <w:p>
      <w:pPr>
        <w:pStyle w:val="834"/>
        <w:jc w:val="both"/>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i/>
          <w:sz w:val="32"/>
          <w:szCs w:val="32"/>
          <w:highlight w:val="none"/>
          <w:u w:val="single"/>
        </w:rPr>
      </w:r>
      <w:r/>
    </w:p>
    <w:p>
      <w:pPr>
        <w:pStyle w:val="834"/>
        <w:jc w:val="both"/>
        <w:spacing w:beforeAutospacing="0" w:afterAutospacing="0"/>
        <w:rPr>
          <w:highlight w:val="none"/>
        </w:rPr>
      </w:pPr>
      <w:r>
        <w:rPr>
          <w:rFonts w:hint="eastAsia" w:ascii="黑体" w:hAnsi="宋体" w:eastAsia="黑体" w:cs="黑体"/>
          <w:i/>
          <w:sz w:val="32"/>
          <w:szCs w:val="32"/>
          <w:highlight w:val="none"/>
          <w:u w:val="single"/>
        </w:rPr>
        <w:t xml:space="preserve">一、法人或者其他组织的营业执照等证明文件，自然人的身份证明</w:t>
      </w:r>
      <w:r>
        <w:rPr>
          <w:highlight w:val="none"/>
        </w:rPr>
      </w:r>
      <w:r/>
    </w:p>
    <w:p>
      <w:pPr>
        <w:pStyle w:val="834"/>
        <w:jc w:val="both"/>
        <w:spacing w:beforeAutospacing="0" w:afterAutospacing="0" w:line="0" w:lineRule="atLeast"/>
        <w:rPr>
          <w:highlight w:val="none"/>
        </w:rPr>
      </w:pPr>
      <w:r>
        <w:rPr>
          <w:highlight w:val="none"/>
        </w:rPr>
        <w:t xml:space="preserve"> </w:t>
      </w:r>
      <w:r>
        <w:rPr>
          <w:highlight w:val="none"/>
        </w:rPr>
      </w:r>
      <w:r/>
    </w:p>
    <w:p>
      <w:pPr>
        <w:pStyle w:val="834"/>
        <w:jc w:val="both"/>
        <w:spacing w:beforeAutospacing="0" w:afterAutospacing="0"/>
        <w:rPr>
          <w:rFonts w:eastAsia="黑体"/>
          <w:highlight w:val="none"/>
        </w:rPr>
      </w:pPr>
      <w:r>
        <w:rPr>
          <w:rFonts w:hint="eastAsia" w:ascii="黑体" w:hAnsi="宋体" w:eastAsia="黑体" w:cs="黑体"/>
          <w:i/>
          <w:sz w:val="32"/>
          <w:szCs w:val="32"/>
          <w:highlight w:val="none"/>
          <w:u w:val="single"/>
        </w:rPr>
        <w:t xml:space="preserve">二、上一年度的财务状况报表</w:t>
      </w:r>
      <w:r>
        <w:rPr>
          <w:rFonts w:eastAsia="黑体"/>
          <w:highlight w:val="none"/>
        </w:rPr>
      </w:r>
      <w:r/>
    </w:p>
    <w:p>
      <w:pPr>
        <w:pStyle w:val="77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rPr>
          <w:highlight w:val="none"/>
        </w:rPr>
      </w:r>
      <w:r/>
    </w:p>
    <w:p>
      <w:pPr>
        <w:pStyle w:val="834"/>
        <w:jc w:val="both"/>
        <w:spacing w:beforeAutospacing="0" w:afterAutospacing="0"/>
        <w:rPr>
          <w:highlight w:val="none"/>
        </w:rPr>
      </w:pPr>
      <w:r>
        <w:rPr>
          <w:highlight w:val="none"/>
        </w:rPr>
      </w:r>
      <w:r/>
    </w:p>
    <w:p>
      <w:pPr>
        <w:pStyle w:val="834"/>
        <w:jc w:val="both"/>
        <w:spacing w:beforeAutospacing="0" w:afterAutospacing="0"/>
        <w:rPr>
          <w:highlight w:val="none"/>
        </w:rPr>
      </w:pPr>
      <w:r>
        <w:rPr>
          <w:highlight w:val="none"/>
        </w:rPr>
        <w:t xml:space="preserve"> </w:t>
      </w:r>
      <w:r>
        <w:rPr>
          <w:highlight w:val="none"/>
        </w:rPr>
      </w:r>
      <w:r/>
    </w:p>
    <w:p>
      <w:pPr>
        <w:pStyle w:val="834"/>
        <w:jc w:val="both"/>
        <w:spacing w:beforeAutospacing="0" w:afterAutospacing="0"/>
        <w:rPr>
          <w:highlight w:val="none"/>
        </w:rPr>
      </w:pPr>
      <w:r>
        <w:rPr>
          <w:rFonts w:hint="eastAsia" w:ascii="黑体" w:hAnsi="宋体" w:eastAsia="黑体" w:cs="黑体"/>
          <w:i/>
          <w:sz w:val="32"/>
          <w:szCs w:val="32"/>
          <w:highlight w:val="none"/>
          <w:u w:val="single"/>
        </w:rPr>
        <w:t xml:space="preserve">三、具备履行合同所必需的设备和专业技术能力的书面声明</w:t>
      </w:r>
      <w:r>
        <w:rPr>
          <w:highlight w:val="none"/>
        </w:rPr>
      </w:r>
      <w:r/>
    </w:p>
    <w:p>
      <w:pPr>
        <w:pStyle w:val="834"/>
        <w:jc w:val="both"/>
        <w:spacing w:beforeAutospacing="0" w:afterAutospacing="0" w:line="0" w:lineRule="atLeast"/>
        <w:rPr>
          <w:highlight w:val="none"/>
        </w:rPr>
      </w:pPr>
      <w:r>
        <w:rPr>
          <w:rFonts w:hint="eastAsia" w:ascii="宋体" w:hAnsi="宋体" w:cs="宋体"/>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834"/>
        <w:jc w:val="both"/>
        <w:spacing w:beforeAutospacing="0" w:afterAutospacing="0" w:line="0" w:lineRule="atLeast"/>
        <w:rPr>
          <w:highlight w:val="none"/>
        </w:rPr>
      </w:pPr>
      <w:r>
        <w:rPr>
          <w:rFonts w:hint="eastAsia" w:ascii="宋体" w:hAnsi="宋体" w:cs="宋体"/>
          <w:highlight w:val="none"/>
        </w:rPr>
        <w:t xml:space="preserve">主要设备有：</w:t>
      </w:r>
      <w:r>
        <w:rPr>
          <w:rFonts w:hint="eastAsia" w:ascii="宋体" w:hAnsi="宋体" w:cs="宋体"/>
          <w:highlight w:val="none"/>
          <w:u w:val="single"/>
        </w:rPr>
        <w:t xml:space="preserve">  </w:t>
      </w:r>
      <w:r>
        <w:rPr>
          <w:rFonts w:hint="eastAsia" w:ascii="宋体" w:hAnsi="宋体" w:cs="宋体"/>
          <w:highlight w:val="none"/>
        </w:rPr>
        <w:t xml:space="preserve">。</w:t>
      </w:r>
      <w:r>
        <w:rPr>
          <w:highlight w:val="none"/>
        </w:rPr>
      </w:r>
      <w:r/>
    </w:p>
    <w:p>
      <w:pPr>
        <w:pStyle w:val="834"/>
        <w:jc w:val="both"/>
        <w:spacing w:beforeAutospacing="0" w:afterAutospacing="0"/>
        <w:rPr>
          <w:rFonts w:ascii="宋体" w:hAnsi="宋体" w:cs="宋体"/>
          <w:highlight w:val="none"/>
        </w:rPr>
      </w:pPr>
      <w:r>
        <w:rPr>
          <w:rFonts w:hint="eastAsia" w:ascii="宋体" w:hAnsi="宋体" w:cs="宋体"/>
          <w:highlight w:val="none"/>
        </w:rPr>
        <w:t xml:space="preserve">主要专业技术能力有：</w:t>
      </w:r>
      <w:r>
        <w:rPr>
          <w:rFonts w:hint="eastAsia"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r>
      <w:r/>
    </w:p>
    <w:p>
      <w:pPr>
        <w:pStyle w:val="834"/>
        <w:jc w:val="both"/>
        <w:spacing w:beforeAutospacing="0" w:afterAutospacing="0"/>
        <w:rPr>
          <w:highlight w:val="none"/>
        </w:rPr>
      </w:pPr>
      <w:r>
        <w:rPr>
          <w:rFonts w:hint="eastAsia" w:ascii="黑体" w:hAnsi="宋体" w:eastAsia="黑体" w:cs="黑体"/>
          <w:i/>
          <w:sz w:val="32"/>
          <w:szCs w:val="32"/>
          <w:highlight w:val="none"/>
          <w:u w:val="single"/>
        </w:rPr>
        <w:t xml:space="preserve">四、依法缴纳税收和社会保障资金的相关材料</w:t>
      </w:r>
      <w:r>
        <w:rPr>
          <w:highlight w:val="none"/>
        </w:rPr>
      </w:r>
      <w:r/>
    </w:p>
    <w:p>
      <w:pPr>
        <w:pStyle w:val="834"/>
        <w:jc w:val="both"/>
        <w:spacing w:beforeAutospacing="0" w:afterAutospacing="0"/>
        <w:rPr>
          <w:highlight w:val="none"/>
        </w:rPr>
      </w:pPr>
      <w:r>
        <w:rPr>
          <w:rFonts w:hint="eastAsia" w:ascii="宋体" w:hAnsi="宋体" w:cs="宋体"/>
          <w:highlight w:val="none"/>
        </w:rPr>
        <w:t xml:space="preserve">提供提交投标文件截止时间前一年内至少一个月依法缴纳税收及缴纳社会保障资金的证明材料。投标人依法享受缓缴、免缴税收、社会保障资金的提供证明材料。</w:t>
      </w:r>
      <w:r>
        <w:rPr>
          <w:highlight w:val="none"/>
        </w:rPr>
      </w:r>
      <w:r/>
    </w:p>
    <w:p>
      <w:pPr>
        <w:pStyle w:val="834"/>
        <w:jc w:val="both"/>
        <w:spacing w:beforeAutospacing="0" w:afterAutospacing="0"/>
        <w:rPr>
          <w:highlight w:val="none"/>
        </w:rPr>
      </w:pPr>
      <w:r>
        <w:rPr>
          <w:rFonts w:hint="eastAsia" w:ascii="黑体" w:hAnsi="宋体" w:eastAsia="黑体" w:cs="黑体"/>
          <w:i/>
          <w:sz w:val="32"/>
          <w:szCs w:val="32"/>
          <w:highlight w:val="none"/>
          <w:u w:val="single"/>
        </w:rPr>
        <w:t xml:space="preserve">五、参加政府采购活动前 3 年内在经营活动中没有重大违法记录的书面声明</w:t>
      </w:r>
      <w:r>
        <w:rPr>
          <w:highlight w:val="none"/>
        </w:rPr>
      </w:r>
      <w:r/>
    </w:p>
    <w:p>
      <w:pPr>
        <w:pStyle w:val="834"/>
        <w:jc w:val="both"/>
        <w:spacing w:beforeAutospacing="0" w:afterAutospacing="0" w:line="0" w:lineRule="atLeast"/>
        <w:rPr>
          <w:highlight w:val="none"/>
        </w:rPr>
      </w:pPr>
      <w:r>
        <w:rPr>
          <w:rFonts w:hint="eastAsia" w:ascii="宋体" w:hAnsi="宋体" w:cs="宋体"/>
          <w:b/>
          <w:sz w:val="44"/>
          <w:szCs w:val="44"/>
          <w:highlight w:val="none"/>
        </w:rPr>
        <w:t xml:space="preserve">       声  明</w:t>
      </w:r>
      <w:r>
        <w:rPr>
          <w:highlight w:val="none"/>
        </w:rPr>
      </w:r>
      <w:r/>
    </w:p>
    <w:p>
      <w:pPr>
        <w:pStyle w:val="834"/>
        <w:jc w:val="both"/>
        <w:spacing w:beforeAutospacing="0" w:afterAutospacing="0" w:line="0" w:lineRule="atLeast"/>
        <w:rPr>
          <w:highlight w:val="none"/>
        </w:rPr>
      </w:pPr>
      <w:r>
        <w:rPr>
          <w:rFonts w:hint="eastAsia" w:ascii="宋体" w:hAnsi="宋体" w:cs="宋体"/>
          <w:b/>
          <w:highlight w:val="none"/>
        </w:rPr>
        <w:t xml:space="preserve">    </w:t>
      </w:r>
      <w:r>
        <w:rPr>
          <w:rFonts w:hint="eastAsia" w:ascii="宋体" w:hAnsi="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834"/>
        <w:jc w:val="both"/>
        <w:spacing w:beforeAutospacing="0" w:afterAutospacing="0"/>
        <w:rPr>
          <w:highlight w:val="none"/>
        </w:rPr>
      </w:pPr>
      <w:r>
        <w:rPr>
          <w:highlight w:val="none"/>
        </w:rPr>
        <w:t xml:space="preserve"> </w:t>
      </w:r>
      <w:r>
        <w:rPr>
          <w:highlight w:val="none"/>
        </w:rPr>
      </w:r>
      <w:r/>
    </w:p>
    <w:p>
      <w:pPr>
        <w:pStyle w:val="834"/>
        <w:jc w:val="both"/>
        <w:spacing w:beforeAutospacing="0" w:afterAutospacing="0"/>
        <w:rPr>
          <w:highlight w:val="none"/>
        </w:rPr>
      </w:pPr>
      <w:r>
        <w:rPr>
          <w:rFonts w:hint="eastAsia" w:ascii="黑体" w:hAnsi="宋体" w:eastAsia="黑体" w:cs="黑体"/>
          <w:i/>
          <w:sz w:val="32"/>
          <w:szCs w:val="32"/>
          <w:highlight w:val="none"/>
          <w:u w:val="single"/>
        </w:rPr>
        <w:t xml:space="preserve">六、特定资格要求的证明文件</w:t>
      </w:r>
      <w:r>
        <w:rPr>
          <w:highlight w:val="none"/>
        </w:rPr>
      </w:r>
      <w:r/>
    </w:p>
    <w:p>
      <w:pPr>
        <w:pStyle w:val="834"/>
        <w:jc w:val="both"/>
        <w:spacing w:beforeAutospacing="0" w:afterAutospacing="0" w:line="0" w:lineRule="atLeast"/>
        <w:rPr>
          <w:highlight w:val="none"/>
        </w:rPr>
      </w:pPr>
      <w:r>
        <w:rPr>
          <w:rFonts w:hint="eastAsia" w:ascii="宋体" w:hAnsi="宋体" w:cs="宋体"/>
          <w:highlight w:val="none"/>
        </w:rPr>
        <w:t xml:space="preserve">    如果本项目申请人的特定资格要求中要求提供的，必须提供。</w:t>
      </w:r>
      <w:r>
        <w:rPr>
          <w:highlight w:val="none"/>
        </w:rPr>
      </w:r>
      <w:r/>
    </w:p>
    <w:p>
      <w:pPr>
        <w:pStyle w:val="834"/>
        <w:jc w:val="both"/>
        <w:spacing w:beforeAutospacing="0" w:afterAutospacing="0" w:line="0" w:lineRule="atLeast"/>
        <w:rPr>
          <w:highlight w:val="none"/>
        </w:rPr>
      </w:pPr>
      <w:r>
        <w:rPr>
          <w:highlight w:val="none"/>
        </w:rPr>
        <w:t xml:space="preserve"> </w:t>
      </w:r>
      <w:r>
        <w:rPr>
          <w:highlight w:val="non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both"/>
        <w:spacing w:beforeAutospacing="0" w:afterAutospacing="0"/>
        <w:rPr>
          <w:rFonts w:ascii="宋体" w:hAnsi="宋体" w:eastAsia="宋体" w:cs="宋体"/>
          <w:color w:val="000000"/>
          <w:sz w:val="32"/>
          <w:szCs w:val="32"/>
          <w:highlight w:val="none"/>
          <w:u w:val="single"/>
        </w:rPr>
      </w:pPr>
      <w:r>
        <w:rPr>
          <w:rFonts w:ascii="宋体" w:hAnsi="宋体" w:eastAsia="宋体" w:cs="宋体"/>
          <w:color w:val="000000"/>
          <w:sz w:val="32"/>
          <w:szCs w:val="32"/>
          <w:highlight w:val="none"/>
          <w:u w:val="singl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sz w:val="32"/>
          <w:szCs w:val="32"/>
          <w:highlight w:val="none"/>
        </w:rPr>
        <w:t xml:space="preserve">七、法人授权书</w:t>
      </w:r>
      <w:r>
        <w:rPr>
          <w:rFonts w:ascii="宋体" w:hAnsi="宋体" w:eastAsia="宋体" w:cs="宋体"/>
          <w:highlight w:val="none"/>
        </w:rPr>
      </w:r>
      <w:r/>
    </w:p>
    <w:p>
      <w:pPr>
        <w:pStyle w:val="779"/>
        <w:ind w:firstLine="480"/>
        <w:jc w:val="both"/>
        <w:spacing w:beforeAutospacing="0" w:afterAutospacing="0"/>
        <w:tabs>
          <w:tab w:val="left" w:pos="360" w:leader="none"/>
        </w:tabs>
        <w:rPr>
          <w:rFonts w:ascii="宋体" w:hAnsi="宋体" w:eastAsia="宋体" w:cs="宋体"/>
          <w:color w:val="000000"/>
          <w:highlight w:val="none"/>
        </w:rPr>
      </w:pPr>
      <w:r>
        <w:rPr>
          <w:rFonts w:ascii="宋体" w:hAnsi="宋体" w:eastAsia="宋体" w:cs="宋体"/>
          <w:color w:val="000000"/>
          <w:highlight w:val="none"/>
        </w:rPr>
      </w:r>
      <w:r/>
    </w:p>
    <w:p>
      <w:pPr>
        <w:pStyle w:val="779"/>
        <w:ind w:firstLine="480"/>
        <w:jc w:val="both"/>
        <w:spacing w:beforeAutospacing="0" w:afterAutospacing="0"/>
        <w:tabs>
          <w:tab w:val="left" w:pos="360" w:leader="none"/>
        </w:tabs>
        <w:rPr>
          <w:rFonts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本授权书声明：____________（投标人名称）授权________________（被授权人的姓名）为我方就JSZC-</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rPr>
          <w:rFonts w:ascii="宋体" w:hAnsi="宋体" w:eastAsia="宋体" w:cs="宋体"/>
          <w:highlight w:val="none"/>
        </w:rPr>
      </w:r>
      <w:r/>
    </w:p>
    <w:p>
      <w:pPr>
        <w:pStyle w:val="779"/>
        <w:jc w:val="both"/>
        <w:spacing w:beforeAutospacing="0" w:afterAutospacing="0"/>
        <w:tabs>
          <w:tab w:val="left" w:pos="360" w:leader="none"/>
        </w:tabs>
        <w:rPr>
          <w:rFonts w:ascii="宋体" w:hAnsi="宋体" w:eastAsia="宋体" w:cs="宋体"/>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rPr>
        <w:t xml:space="preserve">本授权书于______年____月____日起生效，特此声明。</w:t>
      </w:r>
      <w:r>
        <w:rPr>
          <w:rFonts w:ascii="宋体" w:hAnsi="宋体" w:eastAsia="宋体" w:cs="宋体"/>
          <w:highlight w:val="none"/>
        </w:rPr>
      </w:r>
      <w:r/>
    </w:p>
    <w:p>
      <w:pPr>
        <w:pStyle w:val="779"/>
        <w:jc w:val="both"/>
        <w:spacing w:beforeAutospacing="0" w:afterAutospacing="0"/>
        <w:tabs>
          <w:tab w:val="left" w:pos="360" w:leader="none"/>
        </w:tabs>
        <w:rPr>
          <w:rFonts w:ascii="宋体" w:hAnsi="宋体" w:eastAsia="宋体" w:cs="宋体"/>
          <w:color w:val="000000"/>
          <w:highlight w:val="none"/>
        </w:rPr>
      </w:pPr>
      <w:r>
        <w:rPr>
          <w:rFonts w:hint="eastAsia" w:ascii="宋体" w:hAnsi="宋体" w:eastAsia="宋体" w:cs="宋体"/>
          <w:color w:val="000000"/>
          <w:highlight w:val="none"/>
        </w:rPr>
        <w:tab/>
      </w:r>
      <w:r>
        <w:rPr>
          <w:rFonts w:ascii="宋体" w:hAnsi="宋体" w:eastAsia="宋体" w:cs="宋体"/>
          <w:color w:val="000000"/>
          <w:highlight w:val="none"/>
        </w:rPr>
      </w:r>
      <w:r/>
    </w:p>
    <w:p>
      <w:pPr>
        <w:pStyle w:val="779"/>
        <w:jc w:val="both"/>
        <w:spacing w:beforeAutospacing="0" w:afterAutospacing="0"/>
        <w:tabs>
          <w:tab w:val="left" w:pos="360" w:leader="none"/>
        </w:tabs>
        <w:rPr>
          <w:rFonts w:ascii="宋体" w:hAnsi="宋体" w:eastAsia="宋体" w:cs="宋体"/>
          <w:color w:val="000000"/>
          <w:highlight w:val="none"/>
        </w:rPr>
      </w:pPr>
      <w:r>
        <w:rPr>
          <w:rFonts w:hint="eastAsia" w:ascii="宋体" w:hAnsi="宋体" w:eastAsia="宋体" w:cs="宋体"/>
          <w:color w:val="000000"/>
          <w:highlight w:val="none"/>
        </w:rPr>
        <w:t xml:space="preserve">被授权人身份证号码：</w:t>
      </w:r>
      <w:r>
        <w:rPr>
          <w:rFonts w:ascii="宋体" w:hAnsi="宋体" w:eastAsia="宋体" w:cs="宋体"/>
          <w:color w:val="000000"/>
          <w:highlight w:val="none"/>
        </w:rPr>
      </w:r>
      <w:r/>
    </w:p>
    <w:p>
      <w:pPr>
        <w:pStyle w:val="779"/>
        <w:jc w:val="both"/>
        <w:spacing w:beforeAutospacing="0" w:afterAutospacing="0"/>
        <w:tabs>
          <w:tab w:val="left" w:pos="360" w:leader="none"/>
        </w:tabs>
        <w:rPr>
          <w:rFonts w:ascii="宋体" w:hAnsi="宋体" w:eastAsia="宋体" w:cs="宋体"/>
          <w:color w:val="000000"/>
          <w:highlight w:val="none"/>
        </w:rPr>
      </w:pPr>
      <w:r>
        <w:rPr>
          <w:rFonts w:hint="eastAsia" w:ascii="宋体" w:hAnsi="宋体" w:eastAsia="宋体" w:cs="宋体"/>
          <w:color w:val="000000"/>
          <w:highlight w:val="none"/>
        </w:rPr>
        <w:t xml:space="preserve">被授权人联系电话：（手机）</w:t>
      </w:r>
      <w:r>
        <w:rPr>
          <w:rFonts w:ascii="宋体" w:hAnsi="宋体" w:eastAsia="宋体" w:cs="宋体"/>
          <w:color w:val="000000"/>
          <w:highlight w:val="none"/>
        </w:rPr>
      </w:r>
      <w:r/>
    </w:p>
    <w:p>
      <w:pPr>
        <w:pStyle w:val="779"/>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rPr>
        <w:tab/>
      </w:r>
      <w:r>
        <w:rPr>
          <w:rFonts w:ascii="宋体" w:hAnsi="宋体" w:eastAsia="宋体" w:cs="宋体"/>
          <w:color w:val="000000"/>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日期：</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备注:我公司（单位）委托进行现场演示的人员为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（人员姓名），身份证号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79"/>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79"/>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9"/>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9"/>
        <w:ind w:firstLine="3390"/>
        <w:jc w:val="both"/>
        <w:keepLines/>
        <w:keepNext/>
        <w:spacing w:before="260" w:beforeAutospacing="0" w:after="260" w:afterAutospacing="0" w:line="415"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 </w:t>
      </w:r>
      <w:r>
        <w:rPr>
          <w:rFonts w:hint="eastAsia" w:ascii="宋体" w:hAnsi="宋体" w:eastAsia="宋体" w:cs="宋体"/>
          <w:b/>
          <w:color w:val="000000"/>
          <w:sz w:val="32"/>
          <w:szCs w:val="32"/>
          <w:highlight w:val="none"/>
        </w:rPr>
        <w:t xml:space="preserve">八、投标函</w:t>
      </w:r>
      <w:r>
        <w:rPr>
          <w:rFonts w:hint="eastAsia" w:ascii="宋体" w:hAnsi="宋体" w:eastAsia="宋体" w:cs="宋体"/>
          <w:color w:val="000000"/>
          <w:highlight w:val="none"/>
        </w:rPr>
      </w:r>
      <w:r/>
    </w:p>
    <w:p>
      <w:pPr>
        <w:pStyle w:val="779"/>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致：盐城市政府采购中心</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根据贵方的JSZC-        号招标文件，正式授权下述签字人______(姓名)代表我方______________（投标人的名称），全权处理本次项目投标的有关事宜。</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rFonts w:ascii="宋体" w:hAnsi="宋体" w:eastAsia="宋体" w:cs="宋体"/>
          <w:highlight w:val="none"/>
        </w:rPr>
      </w:r>
      <w:r/>
    </w:p>
    <w:p>
      <w:pPr>
        <w:pStyle w:val="779"/>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rPr>
          <w:rFonts w:ascii="宋体" w:hAnsi="宋体" w:eastAsia="宋体" w:cs="宋体"/>
          <w:highlight w:val="none"/>
        </w:rPr>
      </w:r>
      <w:r/>
    </w:p>
    <w:p>
      <w:pPr>
        <w:pStyle w:val="77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地址：</w:t>
      </w:r>
      <w:r>
        <w:rPr>
          <w:rFonts w:ascii="宋体" w:hAnsi="宋体" w:eastAsia="宋体" w:cs="宋体"/>
          <w:highlight w:val="none"/>
        </w:rPr>
      </w:r>
      <w:r/>
    </w:p>
    <w:p>
      <w:pPr>
        <w:pStyle w:val="77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邮编：</w:t>
      </w:r>
      <w:r>
        <w:rPr>
          <w:rFonts w:ascii="宋体" w:hAnsi="宋体" w:eastAsia="宋体" w:cs="宋体"/>
          <w:highlight w:val="none"/>
        </w:rPr>
      </w:r>
      <w:r/>
    </w:p>
    <w:p>
      <w:pPr>
        <w:pStyle w:val="77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电话：</w:t>
      </w:r>
      <w:r>
        <w:rPr>
          <w:rFonts w:ascii="宋体" w:hAnsi="宋体" w:eastAsia="宋体" w:cs="宋体"/>
          <w:highlight w:val="none"/>
        </w:rPr>
      </w:r>
      <w:r/>
    </w:p>
    <w:p>
      <w:pPr>
        <w:pStyle w:val="77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传真：</w:t>
      </w:r>
      <w:r>
        <w:rPr>
          <w:rFonts w:ascii="宋体" w:hAnsi="宋体" w:eastAsia="宋体" w:cs="宋体"/>
          <w:highlight w:val="none"/>
        </w:rPr>
      </w:r>
      <w:r/>
    </w:p>
    <w:p>
      <w:pPr>
        <w:pStyle w:val="77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投标人开户行：</w:t>
      </w:r>
      <w:r>
        <w:rPr>
          <w:rFonts w:ascii="宋体" w:hAnsi="宋体" w:eastAsia="宋体" w:cs="宋体"/>
          <w:highlight w:val="none"/>
        </w:rPr>
      </w:r>
      <w:r/>
    </w:p>
    <w:p>
      <w:pPr>
        <w:pStyle w:val="77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账号： </w:t>
      </w:r>
      <w:r>
        <w:rPr>
          <w:rFonts w:ascii="宋体" w:hAnsi="宋体" w:eastAsia="宋体" w:cs="宋体"/>
          <w:highlight w:val="none"/>
        </w:rPr>
      </w:r>
      <w:r/>
    </w:p>
    <w:p>
      <w:pPr>
        <w:pStyle w:val="779"/>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日期：________年____月____日</w:t>
      </w: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line="0" w:lineRule="atLeast"/>
        <w:rPr>
          <w:highlight w:val="none"/>
        </w:rPr>
      </w:pPr>
      <w:r>
        <w:rPr>
          <w:rFonts w:hint="eastAsia" w:ascii="宋体" w:hAnsi="宋体" w:eastAsia="宋体" w:cs="宋体"/>
          <w:b/>
          <w:sz w:val="32"/>
          <w:szCs w:val="32"/>
          <w:highlight w:val="none"/>
        </w:rPr>
        <w:t xml:space="preserve">九、中小企业声明函（服务）</w:t>
      </w:r>
      <w:r>
        <w:rPr>
          <w:highlight w:val="none"/>
        </w:rPr>
      </w:r>
      <w:r/>
    </w:p>
    <w:p>
      <w:pPr>
        <w:pStyle w:val="737"/>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 号）的规定，本公司（联合体）参加盐城市政府采购中心组织的</w:t>
      </w:r>
      <w:r>
        <w:rPr>
          <w:rFonts w:hint="eastAsia" w:ascii="宋体" w:hAnsi="宋体" w:eastAsia="宋体" w:cs="宋体"/>
          <w:i/>
          <w:iCs/>
          <w:sz w:val="24"/>
          <w:highlight w:val="none"/>
          <w:u w:val="single"/>
        </w:rPr>
        <w:t xml:space="preserve">（单位名称）</w:t>
      </w:r>
      <w:r>
        <w:rPr>
          <w:rFonts w:hint="eastAsia" w:ascii="宋体" w:hAnsi="宋体" w:eastAsia="宋体" w:cs="宋体"/>
          <w:sz w:val="24"/>
          <w:szCs w:val="20"/>
          <w:highlight w:val="none"/>
        </w:rPr>
        <w:t xml:space="preserve">，</w:t>
      </w:r>
      <w:r>
        <w:rPr>
          <w:rFonts w:hint="eastAsia" w:ascii="宋体" w:hAnsi="宋体" w:eastAsia="宋体" w:cs="宋体"/>
          <w:sz w:val="24"/>
          <w:highlight w:val="none"/>
        </w:rPr>
        <w:t xml:space="preserve">采购编号为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w:t>
      </w:r>
      <w:r>
        <w:rPr>
          <w:rFonts w:hint="eastAsia" w:ascii="宋体" w:hAnsi="宋体" w:eastAsia="宋体" w:cs="宋体"/>
          <w:i/>
          <w:iCs/>
          <w:sz w:val="24"/>
          <w:highlight w:val="none"/>
          <w:u w:val="single"/>
        </w:rPr>
        <w:t xml:space="preserve">（项目名称）</w:t>
      </w:r>
      <w:r>
        <w:rPr>
          <w:rFonts w:hint="eastAsia" w:ascii="宋体" w:hAnsi="宋体" w:eastAsia="宋体" w:cs="宋体"/>
          <w:sz w:val="24"/>
          <w:highlight w:val="none"/>
        </w:rPr>
        <w:t xml:space="preserve">的采购活动，服务全部由符合政策要求的中小企业承接。相关企业（含联合体中的中小企业、签订分包意向协议的中小企业）的具体情况如下：</w:t>
      </w:r>
      <w:r>
        <w:rPr>
          <w:rFonts w:hint="eastAsia" w:ascii="宋体" w:hAnsi="宋体" w:eastAsia="宋体" w:cs="宋体"/>
          <w:sz w:val="24"/>
          <w:highlight w:val="none"/>
        </w:rPr>
      </w:r>
      <w:r/>
    </w:p>
    <w:p>
      <w:pPr>
        <w:pStyle w:val="737"/>
        <w:numPr>
          <w:ilvl w:val="0"/>
          <w:numId w:val="17"/>
        </w:numPr>
        <w:ind w:firstLine="480"/>
        <w:spacing w:line="500" w:lineRule="exact"/>
        <w:rPr>
          <w:rFonts w:hint="eastAsia" w:ascii="宋体" w:hAnsi="宋体" w:eastAsia="宋体" w:cs="宋体"/>
          <w:sz w:val="24"/>
          <w:highlight w:val="none"/>
        </w:rPr>
      </w:pPr>
      <w:r>
        <w:rPr>
          <w:rFonts w:hint="eastAsia" w:ascii="宋体" w:hAnsi="宋体" w:eastAsia="宋体" w:cs="宋体"/>
          <w:i/>
          <w:iCs/>
          <w:sz w:val="24"/>
          <w:highlight w:val="none"/>
          <w:u w:val="single"/>
        </w:rPr>
        <w:t xml:space="preserve">（标的名称）</w:t>
      </w:r>
      <w:r>
        <w:rPr>
          <w:rFonts w:hint="eastAsia" w:ascii="宋体" w:hAnsi="宋体" w:eastAsia="宋体" w:cs="宋体"/>
          <w:sz w:val="24"/>
          <w:highlight w:val="none"/>
        </w:rPr>
        <w:t xml:space="preserve"> ，属于</w:t>
      </w:r>
      <w:r>
        <w:rPr>
          <w:rFonts w:hint="eastAsia" w:ascii="宋体" w:hAnsi="宋体" w:eastAsia="宋体" w:cs="宋体"/>
          <w:i/>
          <w:iCs/>
          <w:sz w:val="24"/>
          <w:highlight w:val="none"/>
          <w:u w:val="single"/>
        </w:rPr>
        <w:t xml:space="preserve">（采购文件中明确的所属行业）</w:t>
      </w:r>
      <w:r>
        <w:rPr>
          <w:rFonts w:hint="eastAsia" w:ascii="宋体" w:hAnsi="宋体" w:eastAsia="宋体" w:cs="宋体"/>
          <w:sz w:val="24"/>
          <w:highlight w:val="none"/>
        </w:rPr>
        <w:t xml:space="preserve">；承建（承接）企业为</w:t>
      </w:r>
      <w:r>
        <w:rPr>
          <w:rFonts w:hint="eastAsia" w:ascii="宋体" w:hAnsi="宋体" w:eastAsia="宋体" w:cs="宋体"/>
          <w:i/>
          <w:iCs/>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iCs/>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numPr>
          <w:ilvl w:val="0"/>
          <w:numId w:val="17"/>
        </w:numPr>
        <w:ind w:firstLine="480"/>
        <w:spacing w:line="500" w:lineRule="exact"/>
        <w:rPr>
          <w:rFonts w:hint="eastAsia" w:ascii="宋体" w:hAnsi="宋体" w:eastAsia="宋体" w:cs="宋体"/>
          <w:sz w:val="24"/>
          <w:highlight w:val="none"/>
        </w:rPr>
      </w:pPr>
      <w:r>
        <w:rPr>
          <w:rFonts w:hint="eastAsia" w:ascii="宋体" w:hAnsi="宋体" w:eastAsia="宋体" w:cs="宋体"/>
          <w:i/>
          <w:iCs/>
          <w:sz w:val="24"/>
          <w:highlight w:val="none"/>
          <w:u w:val="single"/>
        </w:rPr>
        <w:t xml:space="preserve">（标的名称）</w:t>
      </w:r>
      <w:r>
        <w:rPr>
          <w:rFonts w:hint="eastAsia" w:ascii="宋体" w:hAnsi="宋体" w:eastAsia="宋体" w:cs="宋体"/>
          <w:sz w:val="24"/>
          <w:highlight w:val="none"/>
        </w:rPr>
        <w:t xml:space="preserve"> ，属于</w:t>
      </w:r>
      <w:r>
        <w:rPr>
          <w:rFonts w:hint="eastAsia" w:ascii="宋体" w:hAnsi="宋体" w:eastAsia="宋体" w:cs="宋体"/>
          <w:i/>
          <w:iCs/>
          <w:sz w:val="24"/>
          <w:highlight w:val="none"/>
          <w:u w:val="single"/>
        </w:rPr>
        <w:t xml:space="preserve">（采购文件中明确的所属行业）</w:t>
      </w:r>
      <w:r>
        <w:rPr>
          <w:rFonts w:hint="eastAsia" w:ascii="宋体" w:hAnsi="宋体" w:eastAsia="宋体" w:cs="宋体"/>
          <w:sz w:val="24"/>
          <w:highlight w:val="none"/>
        </w:rPr>
        <w:t xml:space="preserve">；承建（承接）企业为</w:t>
      </w:r>
      <w:r>
        <w:rPr>
          <w:rFonts w:hint="eastAsia" w:ascii="宋体" w:hAnsi="宋体" w:eastAsia="宋体" w:cs="宋体"/>
          <w:i/>
          <w:iCs/>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iCs/>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highlight w:val="none"/>
        </w:rPr>
      </w:r>
      <w:r/>
    </w:p>
    <w:p>
      <w:pPr>
        <w:pStyle w:val="737"/>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hint="eastAsia" w:ascii="宋体" w:hAnsi="宋体" w:eastAsia="宋体" w:cs="宋体"/>
          <w:sz w:val="24"/>
          <w:highlight w:val="none"/>
        </w:rPr>
      </w:r>
      <w:r/>
    </w:p>
    <w:p>
      <w:pPr>
        <w:pStyle w:val="779"/>
        <w:ind w:right="72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779"/>
        <w:ind w:right="180" w:firstLine="360"/>
        <w:jc w:val="right"/>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企业名称（加盖CA电子公章）：</w:t>
      </w:r>
      <w:r>
        <w:rPr>
          <w:rFonts w:hint="eastAsia" w:ascii="宋体" w:hAnsi="宋体" w:eastAsia="宋体" w:cs="宋体"/>
          <w:highlight w:val="none"/>
        </w:rPr>
      </w:r>
      <w:r/>
    </w:p>
    <w:p>
      <w:pPr>
        <w:pStyle w:val="779"/>
        <w:ind w:right="480" w:firstLine="540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日  期：</w:t>
      </w:r>
      <w:r>
        <w:rPr>
          <w:rFonts w:hint="eastAsia" w:ascii="宋体" w:hAnsi="宋体" w:eastAsia="宋体" w:cs="宋体"/>
          <w:highlight w:val="none"/>
        </w:rPr>
      </w:r>
      <w:r/>
    </w:p>
    <w:p>
      <w:pPr>
        <w:pStyle w:val="779"/>
        <w:ind w:firstLine="24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779"/>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rPr>
          <w:rFonts w:hint="eastAsia" w:ascii="宋体" w:hAnsi="宋体" w:eastAsia="宋体" w:cs="宋体"/>
          <w:highlight w:val="none"/>
        </w:rPr>
      </w:r>
      <w:r/>
    </w:p>
    <w:p>
      <w:pPr>
        <w:pStyle w:val="779"/>
        <w:ind w:firstLine="480"/>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b/>
          <w:color w:val="000000"/>
          <w:sz w:val="32"/>
          <w:szCs w:val="32"/>
          <w:highlight w:val="none"/>
        </w:rPr>
        <w:t xml:space="preserve">十、残疾人福利性单位声明函</w:t>
      </w:r>
      <w:r>
        <w:rPr>
          <w:rFonts w:ascii="宋体" w:hAnsi="宋体" w:eastAsia="宋体" w:cs="宋体"/>
          <w:highlight w:val="none"/>
        </w:rPr>
      </w:r>
      <w:r/>
    </w:p>
    <w:p>
      <w:pPr>
        <w:pStyle w:val="77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rPr>
          <w:rFonts w:ascii="宋体" w:hAnsi="宋体" w:eastAsia="宋体" w:cs="宋体"/>
          <w:highlight w:val="none"/>
        </w:rPr>
      </w:r>
      <w:r/>
    </w:p>
    <w:p>
      <w:pPr>
        <w:pStyle w:val="77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rPr>
          <w:rFonts w:ascii="宋体" w:hAnsi="宋体" w:eastAsia="宋体" w:cs="宋体"/>
          <w:highlight w:val="none"/>
        </w:rPr>
      </w:r>
      <w:r/>
    </w:p>
    <w:p>
      <w:pPr>
        <w:pStyle w:val="77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（备注：1、供应商如不提供此声明函，价格将不做相应扣除。2、中标人为残疾人福利单位的，此声明函将随中标结果同时公告，接受社会监督）</w:t>
      </w:r>
      <w:r>
        <w:rPr>
          <w:rFonts w:ascii="宋体" w:hAnsi="宋体" w:eastAsia="宋体" w:cs="宋体"/>
          <w:highlight w:val="none"/>
        </w:rPr>
      </w:r>
      <w:r/>
    </w:p>
    <w:p>
      <w:pPr>
        <w:pStyle w:val="779"/>
        <w:ind w:firstLine="624"/>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ind w:right="1560" w:firstLine="624"/>
        <w:jc w:val="center"/>
        <w:spacing w:beforeAutospacing="0" w:afterAutospacing="0" w:line="0" w:lineRule="atLeast"/>
        <w:tabs>
          <w:tab w:val="left" w:pos="4864" w:leader="none"/>
        </w:tabs>
        <w:rPr>
          <w:rFonts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rFonts w:ascii="宋体" w:hAnsi="宋体" w:eastAsia="宋体" w:cs="宋体"/>
          <w:highlight w:val="none"/>
        </w:rPr>
      </w:r>
      <w:r/>
    </w:p>
    <w:p>
      <w:pPr>
        <w:pStyle w:val="779"/>
        <w:ind w:right="1560" w:firstLine="480"/>
        <w:jc w:val="center"/>
        <w:spacing w:beforeAutospacing="0" w:afterAutospacing="0" w:line="0" w:lineRule="atLeast"/>
        <w:tabs>
          <w:tab w:val="left" w:pos="4864" w:leader="none"/>
        </w:tabs>
        <w:rPr>
          <w:rFonts w:ascii="宋体" w:hAnsi="宋体" w:eastAsia="宋体" w:cs="宋体"/>
          <w:highlight w:val="none"/>
        </w:rPr>
      </w:pPr>
      <w:r>
        <w:rPr>
          <w:rFonts w:hint="eastAsia" w:ascii="宋体" w:hAnsi="宋体" w:eastAsia="宋体" w:cs="宋体"/>
          <w:color w:val="000000"/>
          <w:highlight w:val="none"/>
        </w:rPr>
        <w:t xml:space="preserve">        日  期：</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line="0" w:lineRule="atLeast"/>
        <w:rPr>
          <w:highlight w:val="none"/>
        </w:rPr>
      </w:pPr>
      <w:r>
        <w:rPr>
          <w:rFonts w:hint="eastAsia" w:ascii="宋体" w:hAnsi="宋体" w:eastAsia="宋体" w:cs="宋体"/>
          <w:highlight w:val="none"/>
        </w:rPr>
        <w:t xml:space="preserve"> </w:t>
      </w:r>
      <w:r>
        <w:rPr>
          <w:rFonts w:hint="eastAsia" w:ascii="黑体" w:hAnsi="宋体" w:eastAsia="黑体" w:cs="黑体"/>
          <w:b/>
          <w:color w:val="000000"/>
          <w:sz w:val="32"/>
          <w:szCs w:val="32"/>
          <w:highlight w:val="none"/>
        </w:rPr>
        <w:t xml:space="preserve">十一、联合体协议（参考格式）</w:t>
      </w:r>
      <w:r>
        <w:rPr>
          <w:highlight w:val="none"/>
        </w:rPr>
      </w:r>
      <w:r/>
    </w:p>
    <w:p>
      <w:pPr>
        <w:pStyle w:val="779"/>
        <w:jc w:val="both"/>
        <w:spacing w:beforeAutospacing="0" w:afterAutospacing="0" w:line="400" w:lineRule="exact"/>
        <w:rPr>
          <w:highlight w:val="none"/>
        </w:rPr>
      </w:pPr>
      <w:r>
        <w:rPr>
          <w:rFonts w:hint="eastAsia" w:ascii="宋体" w:hAnsi="宋体" w:eastAsia="宋体" w:cs="宋体"/>
          <w:color w:val="000000"/>
          <w:highlight w:val="none"/>
        </w:rPr>
        <w:t xml:space="preserve">（联合体中各供应商全称）在此达成以下协议：</w:t>
      </w:r>
      <w:r>
        <w:rPr>
          <w:highlight w:val="none"/>
        </w:rPr>
      </w:r>
      <w:r/>
    </w:p>
    <w:p>
      <w:pPr>
        <w:pStyle w:val="779"/>
        <w:ind w:firstLine="645"/>
        <w:jc w:val="both"/>
        <w:spacing w:beforeAutospacing="0" w:afterAutospacing="0" w:line="400" w:lineRule="exac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highlight w:val="none"/>
        </w:rPr>
      </w:r>
      <w:r/>
    </w:p>
    <w:p>
      <w:pPr>
        <w:pStyle w:val="779"/>
        <w:ind w:firstLine="645"/>
        <w:jc w:val="both"/>
        <w:spacing w:beforeAutospacing="0" w:afterAutospacing="0" w:line="400" w:lineRule="exac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none"/>
        </w:rPr>
      </w:r>
      <w:r/>
    </w:p>
    <w:p>
      <w:pPr>
        <w:pStyle w:val="779"/>
        <w:ind w:firstLine="645"/>
        <w:jc w:val="both"/>
        <w:spacing w:beforeAutospacing="0" w:afterAutospacing="0" w:line="400" w:lineRule="exac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highlight w:val="none"/>
        </w:rPr>
      </w:r>
      <w:r/>
    </w:p>
    <w:p>
      <w:pPr>
        <w:pStyle w:val="779"/>
        <w:ind w:firstLine="645"/>
        <w:jc w:val="both"/>
        <w:spacing w:beforeAutospacing="0" w:afterAutospacing="0" w:line="400" w:lineRule="exact"/>
        <w:rPr>
          <w:highlight w:val="none"/>
        </w:rPr>
      </w:pPr>
      <w:r>
        <w:rPr>
          <w:highlight w:val="none"/>
        </w:rPr>
        <w:t xml:space="preserve"> </w:t>
      </w:r>
      <w:r>
        <w:rPr>
          <w:highlight w:val="none"/>
        </w:rPr>
      </w:r>
      <w:r/>
    </w:p>
    <w:p>
      <w:pPr>
        <w:pStyle w:val="779"/>
        <w:ind w:firstLine="645"/>
        <w:jc w:val="both"/>
        <w:spacing w:beforeAutospacing="0" w:afterAutospacing="0" w:line="400" w:lineRule="exac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highlight w:val="none"/>
        </w:rPr>
      </w:r>
      <w:r/>
    </w:p>
    <w:p>
      <w:pPr>
        <w:pStyle w:val="779"/>
        <w:ind w:firstLine="645"/>
        <w:jc w:val="both"/>
        <w:spacing w:beforeAutospacing="0" w:afterAutospacing="0" w:line="400" w:lineRule="exact"/>
        <w:rPr>
          <w:highlight w:val="none"/>
        </w:rPr>
      </w:pPr>
      <w:r>
        <w:rPr>
          <w:rFonts w:hint="eastAsia" w:ascii="宋体" w:hAnsi="宋体" w:eastAsia="宋体" w:cs="宋体"/>
          <w:color w:val="000000"/>
          <w:highlight w:val="none"/>
        </w:rPr>
        <w:t xml:space="preserve">                               </w:t>
      </w:r>
      <w:r>
        <w:rPr>
          <w:highlight w:val="none"/>
        </w:rPr>
      </w:r>
      <w:r/>
    </w:p>
    <w:p>
      <w:pPr>
        <w:pStyle w:val="779"/>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rPr>
          <w:highlight w:val="none"/>
        </w:rPr>
      </w:r>
      <w:r/>
    </w:p>
    <w:p>
      <w:pPr>
        <w:pStyle w:val="77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rPr>
          <w:highlight w:val="none"/>
        </w:rPr>
      </w:r>
      <w:r/>
    </w:p>
    <w:p>
      <w:pPr>
        <w:pStyle w:val="779"/>
        <w:ind w:firstLine="645"/>
        <w:jc w:val="both"/>
        <w:spacing w:beforeAutospacing="0" w:afterAutospacing="0" w:line="0" w:lineRule="atLeast"/>
        <w:rPr>
          <w:highlight w:val="none"/>
        </w:rPr>
      </w:pPr>
      <w:r>
        <w:rPr>
          <w:highlight w:val="none"/>
        </w:rPr>
        <w:t xml:space="preserve"> </w:t>
      </w:r>
      <w:r>
        <w:rPr>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十二、投标分项报价表</w:t>
      </w:r>
      <w:r>
        <w:rPr>
          <w:rFonts w:ascii="宋体" w:hAnsi="宋体" w:eastAsia="宋体" w:cs="宋体"/>
          <w:b/>
          <w:color w:val="000000"/>
          <w:sz w:val="32"/>
          <w:szCs w:val="32"/>
          <w:highlight w:val="none"/>
        </w:rPr>
      </w:r>
      <w:r/>
    </w:p>
    <w:p>
      <w:pPr>
        <w:pStyle w:val="779"/>
        <w:spacing w:beforeAutospacing="0" w:afterAutospacing="0"/>
        <w:rPr>
          <w:rFonts w:ascii="宋体" w:hAnsi="宋体" w:eastAsia="宋体" w:cs="宋体"/>
          <w:highlight w:val="none"/>
        </w:rPr>
      </w:pPr>
      <w:r>
        <w:rPr>
          <w:rFonts w:ascii="宋体" w:hAnsi="宋体" w:eastAsia="宋体" w:cs="宋体"/>
          <w:highlight w:val="none"/>
        </w:rPr>
      </w:r>
      <w:r/>
    </w:p>
    <w:tbl>
      <w:tblPr>
        <w:tblW w:w="0" w:type="auto"/>
        <w:tblCellSpacing w:w="0" w:type="dxa"/>
        <w:tblInd w:w="-98"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1</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2</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3</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4</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5</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6</w:t>
            </w:r>
            <w:r>
              <w:rPr>
                <w:rFonts w:ascii="宋体" w:hAnsi="宋体" w:eastAsia="宋体" w:cs="宋体"/>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737"/>
              <w:rPr>
                <w:rFonts w:ascii="宋体" w:hAnsi="宋体" w:eastAsia="宋体" w:cs="宋体"/>
                <w:sz w:val="24"/>
                <w:highlight w:val="none"/>
              </w:rPr>
            </w:pPr>
            <w:r>
              <w:rPr>
                <w:rFonts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分项服务名称</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交付期</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分项单位</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数量</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分项</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单价</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分项</w:t>
            </w:r>
            <w:r>
              <w:rPr>
                <w:rFonts w:ascii="宋体" w:hAnsi="宋体" w:eastAsia="宋体" w:cs="宋体"/>
                <w:highlight w:val="none"/>
              </w:rPr>
            </w:r>
            <w:r/>
          </w:p>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总价</w:t>
            </w:r>
            <w:r>
              <w:rPr>
                <w:rFonts w:ascii="宋体" w:hAnsi="宋体" w:eastAsia="宋体" w:cs="宋体"/>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1</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基础支撑软硬件</w:t>
            </w:r>
            <w:r>
              <w:rPr>
                <w:rFonts w:hint="eastAsia" w:ascii="宋体" w:hAnsi="宋体" w:eastAsia="宋体" w:cs="宋体"/>
                <w:highlight w:val="none"/>
                <w:lang w:eastAsia="zh-CN"/>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2</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9"/>
              <w:jc w:val="center"/>
              <w:spacing w:beforeAutospacing="0" w:afterAutospacing="0" w:line="0" w:lineRule="atLeast"/>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数据治理</w:t>
            </w:r>
            <w:r>
              <w:rPr>
                <w:rFonts w:ascii="宋体" w:hAnsi="宋体" w:eastAsia="宋体" w:cs="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3</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lang w:val="en-US" w:eastAsia="zh-CN"/>
              </w:rPr>
              <w:t xml:space="preserve">管线修补测</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9"/>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9"/>
              <w:jc w:val="both"/>
              <w:spacing w:beforeAutospacing="0" w:afterAutospacing="0" w:line="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信息管理系统开发</w:t>
            </w:r>
            <w:r>
              <w:rPr>
                <w:rFonts w:hint="eastAsia" w:ascii="宋体" w:hAnsi="宋体" w:eastAsia="宋体" w:cs="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9"/>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9"/>
              <w:jc w:val="both"/>
              <w:spacing w:beforeAutospacing="0" w:afterAutospacing="0" w:line="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其他费用（软件测评、系统集成、等级保护、密码测评）</w:t>
            </w:r>
            <w:r>
              <w:rPr>
                <w:rFonts w:hint="eastAsia" w:ascii="宋体" w:hAnsi="宋体" w:eastAsia="宋体" w:cs="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79"/>
              <w:jc w:val="center"/>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投标总报价（人民币：元）</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77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b/>
          <w:color w:val="000000"/>
          <w:sz w:val="32"/>
          <w:szCs w:val="32"/>
          <w:highlight w:val="none"/>
        </w:rPr>
        <w:t xml:space="preserve">十三、技术要求响应及偏离表</w:t>
      </w:r>
      <w:r>
        <w:rPr>
          <w:rFonts w:ascii="宋体" w:hAnsi="宋体" w:eastAsia="宋体" w:cs="宋体"/>
          <w:highlight w:val="none"/>
        </w:rPr>
      </w:r>
      <w:r/>
    </w:p>
    <w:tbl>
      <w:tblPr>
        <w:tblW w:w="0" w:type="auto"/>
        <w:tblCellSpacing w:w="0" w:type="dxa"/>
        <w:tblInd w:w="-9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材料</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77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b/>
          <w:color w:val="000000"/>
          <w:sz w:val="32"/>
          <w:szCs w:val="32"/>
          <w:highlight w:val="none"/>
        </w:rPr>
        <w:t xml:space="preserve">十四、商务要求响应及偏离表</w:t>
      </w:r>
      <w:r>
        <w:rPr>
          <w:rFonts w:ascii="宋体" w:hAnsi="宋体" w:eastAsia="宋体" w:cs="宋体"/>
          <w:highlight w:val="none"/>
        </w:rPr>
      </w:r>
      <w:r/>
    </w:p>
    <w:tbl>
      <w:tblPr>
        <w:tblW w:w="0" w:type="auto"/>
        <w:tblCellSpacing w:w="0" w:type="dxa"/>
        <w:tblInd w:w="-9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bookmarkStart w:id="214" w:name="_Hlt26671372"/>
            <w:r/>
            <w:bookmarkStart w:id="215" w:name="_Hlt24879081"/>
            <w:r/>
            <w:bookmarkStart w:id="216" w:name="_Hlt26955064"/>
            <w:r/>
            <w:bookmarkStart w:id="217" w:name="_Hlt26609391"/>
            <w:r/>
            <w:bookmarkStart w:id="218" w:name="_Hlt26671343"/>
            <w:r/>
            <w:bookmarkStart w:id="219" w:name="_Hlt26782999"/>
            <w:r/>
            <w:bookmarkStart w:id="220" w:name="_Hlt26955056"/>
            <w:r/>
            <w:bookmarkStart w:id="221" w:name="_Hlt26580838"/>
            <w:r>
              <w:rPr>
                <w:rFonts w:hint="eastAsia" w:ascii="宋体" w:hAnsi="宋体" w:eastAsia="宋体" w:cs="宋体"/>
                <w:color w:val="000000"/>
                <w:highlight w:val="none"/>
              </w:rPr>
              <w:t xml:space="preserve">序号</w:t>
            </w:r>
            <w:bookmarkEnd w:id="214"/>
            <w:r/>
            <w:bookmarkEnd w:id="215"/>
            <w:r/>
            <w:bookmarkEnd w:id="216"/>
            <w:r/>
            <w:bookmarkEnd w:id="217"/>
            <w:r/>
            <w:bookmarkEnd w:id="218"/>
            <w:r/>
            <w:bookmarkEnd w:id="219"/>
            <w:r/>
            <w:bookmarkEnd w:id="220"/>
            <w:r/>
            <w:bookmarkEnd w:id="221"/>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材料</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77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779"/>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79"/>
        <w:jc w:val="center"/>
        <w:spacing w:beforeAutospacing="0" w:afterAutospacing="0"/>
        <w:rPr>
          <w:highlight w:val="none"/>
        </w:rPr>
      </w:pPr>
      <w:r>
        <w:rPr>
          <w:rFonts w:hint="eastAsia" w:ascii="黑体" w:hAnsi="宋体" w:eastAsia="黑体" w:cs="黑体"/>
          <w:bCs/>
          <w:iCs/>
          <w:sz w:val="32"/>
          <w:szCs w:val="32"/>
          <w:highlight w:val="none"/>
        </w:rPr>
        <w:t xml:space="preserve">十五、开标一览表</w:t>
      </w:r>
      <w:r>
        <w:rPr>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2"/>
        <w:gridCol w:w="2784"/>
        <w:gridCol w:w="351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29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金额大写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投标人公章：                               （电子签章）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日期： 年  月  日</w:t>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79"/>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7"/>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十六、技术方案、服务承诺、培训承诺等</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737"/>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3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rPr>
          <w:rFonts w:hint="eastAsia"/>
          <w:highlight w:val="none"/>
        </w:rPr>
      </w:pPr>
      <w:r>
        <w:rPr>
          <w:rFonts w:hint="eastAsia"/>
          <w:highlight w:val="none"/>
        </w:rPr>
      </w:r>
      <w:r/>
    </w:p>
    <w:p>
      <w:pPr>
        <w:pStyle w:val="737"/>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rPr>
          <w:rFonts w:ascii="宋体" w:hAnsi="宋体" w:eastAsia="宋体" w:cs="宋体"/>
          <w:sz w:val="24"/>
          <w:highlight w:val="none"/>
        </w:rPr>
      </w:r>
      <w:r/>
    </w:p>
    <w:p>
      <w:pPr>
        <w:pStyle w:val="737"/>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sz w:val="24"/>
          <w:highlight w:val="none"/>
        </w:rPr>
      </w:r>
      <w:r/>
    </w:p>
    <w:p>
      <w:pPr>
        <w:pStyle w:val="737"/>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eastAsia="宋体" w:cs="宋体"/>
          <w:sz w:val="24"/>
          <w:highlight w:val="none"/>
        </w:rPr>
      </w:r>
      <w:r/>
    </w:p>
    <w:p>
      <w:pPr>
        <w:pStyle w:val="737"/>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737"/>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737"/>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rPr>
          <w:rFonts w:ascii="宋体" w:hAnsi="宋体" w:eastAsia="宋体" w:cs="宋体"/>
          <w:sz w:val="24"/>
          <w:highlight w:val="none"/>
        </w:rPr>
      </w:r>
      <w:r/>
    </w:p>
    <w:p>
      <w:pPr>
        <w:pStyle w:val="737"/>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737"/>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ascii="宋体" w:hAnsi="宋体" w:eastAsia="宋体" w:cs="宋体"/>
          <w:sz w:val="24"/>
          <w:highlight w:val="none"/>
        </w:rPr>
      </w:r>
      <w:r/>
    </w:p>
    <w:p>
      <w:pPr>
        <w:pStyle w:val="737"/>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737"/>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ascii="宋体" w:hAnsi="宋体" w:eastAsia="宋体" w:cs="宋体"/>
          <w:sz w:val="24"/>
          <w:highlight w:val="none"/>
        </w:rPr>
      </w:r>
      <w:r/>
    </w:p>
    <w:p>
      <w:pPr>
        <w:pStyle w:val="737"/>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ascii="宋体" w:hAnsi="宋体" w:eastAsia="宋体" w:cs="宋体"/>
          <w:sz w:val="24"/>
          <w:highlight w:val="none"/>
        </w:rPr>
      </w:r>
      <w:r/>
    </w:p>
    <w:p>
      <w:pPr>
        <w:pStyle w:val="737"/>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ascii="宋体" w:hAnsi="宋体" w:eastAsia="宋体" w:cs="宋体"/>
          <w:sz w:val="24"/>
          <w:highlight w:val="none"/>
        </w:rPr>
      </w:r>
      <w:r/>
    </w:p>
    <w:p>
      <w:pPr>
        <w:pStyle w:val="737"/>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sz w:val="24"/>
          <w:highlight w:val="none"/>
        </w:rPr>
      </w:r>
      <w:r/>
    </w:p>
    <w:p>
      <w:pPr>
        <w:pStyle w:val="737"/>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rPr>
          <w:rFonts w:ascii="宋体" w:hAnsi="宋体" w:eastAsia="宋体" w:cs="宋体"/>
          <w:sz w:val="24"/>
          <w:highlight w:val="none"/>
        </w:rPr>
      </w:r>
      <w:r/>
    </w:p>
    <w:p>
      <w:pPr>
        <w:pStyle w:val="77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color w:val="000000"/>
          <w:sz w:val="22"/>
          <w:szCs w:val="22"/>
          <w:highlight w:val="none"/>
        </w:rPr>
        <w:t xml:space="preserve"> </w:t>
      </w:r>
      <w:r>
        <w:rPr>
          <w:rFonts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779"/>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highlight w:val="none"/>
        </w:rPr>
      </w:r>
      <w:r/>
    </w:p>
    <w:p>
      <w:pPr>
        <w:pStyle w:val="77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rPr>
          <w:rFonts w:ascii="宋体" w:hAnsi="宋体" w:eastAsia="宋体" w:cs="宋体"/>
          <w:highlight w:val="none"/>
        </w:rPr>
      </w:r>
      <w:r/>
    </w:p>
    <w:p>
      <w:pPr>
        <w:pStyle w:val="779"/>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rPr>
          <w:rFonts w:ascii="宋体" w:hAnsi="宋体" w:eastAsia="宋体" w:cs="宋体"/>
          <w:highlight w:val="none"/>
        </w:rPr>
      </w:r>
      <w:r/>
    </w:p>
    <w:p>
      <w:pPr>
        <w:pStyle w:val="77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highlight w:val="none"/>
        </w:rPr>
      </w:r>
      <w:r/>
    </w:p>
    <w:p>
      <w:pPr>
        <w:pStyle w:val="77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77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highlight w:val="none"/>
        </w:rPr>
      </w:r>
      <w:r/>
    </w:p>
    <w:p>
      <w:pPr>
        <w:pStyle w:val="77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highlight w:val="none"/>
        </w:rPr>
      </w:r>
      <w:r/>
    </w:p>
    <w:p>
      <w:pPr>
        <w:pStyle w:val="77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highlight w:val="none"/>
        </w:rPr>
      </w:r>
      <w:r/>
    </w:p>
    <w:p>
      <w:pPr>
        <w:pStyle w:val="77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p>
      <w:pPr>
        <w:pStyle w:val="779"/>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779"/>
        <w:jc w:val="both"/>
        <w:spacing w:beforeAutospacing="0" w:afterAutospacing="0"/>
        <w:rPr>
          <w:rFonts w:ascii="宋体" w:hAnsi="宋体" w:eastAsia="宋体" w:cs="宋体"/>
          <w:highlight w:val="none"/>
        </w:rPr>
      </w:pPr>
      <w:r>
        <w:rPr>
          <w:rFonts w:ascii="宋体" w:hAnsi="宋体" w:eastAsia="宋体" w:cs="宋体"/>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Verdana">
    <w:panose1 w:val="020B0604030504040204"/>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right" w:pos="8306" w:leader="none"/>
      </w:tabs>
    </w:pPr>
    <w:r>
      <w:fldChar w:fldCharType="begin"/>
    </w:r>
    <w:r>
      <w:instrText xml:space="preserve">PAGE \* MERGEFORMAT</w:instrText>
    </w:r>
    <w:r>
      <w:fldChar w:fldCharType="separate"/>
    </w:r>
    <w:r>
      <w:t xml:space="preserve">5</w:t>
    </w:r>
    <w:r>
      <w:fldChar w:fldCharType="end"/>
    </w:r>
    <w:r/>
  </w:p>
  <w:p>
    <w:pPr>
      <w:pStyle w:val="8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7"/>
        <w:ind w:left="432" w:hanging="432"/>
      </w:pPr>
    </w:lvl>
    <w:lvl w:ilvl="1">
      <w:start w:val="1"/>
      <w:numFmt w:val="decimal"/>
      <w:isLgl w:val="false"/>
      <w:suff w:val="tab"/>
      <w:lvlText w:val="%1.%2."/>
      <w:lvlJc w:val="left"/>
      <w:pPr>
        <w:pStyle w:val="737"/>
        <w:ind w:left="575" w:hanging="575"/>
      </w:pPr>
    </w:lvl>
    <w:lvl w:ilvl="2">
      <w:start w:val="1"/>
      <w:numFmt w:val="decimal"/>
      <w:isLgl w:val="false"/>
      <w:suff w:val="tab"/>
      <w:lvlText w:val="%1.%2.%3."/>
      <w:lvlJc w:val="left"/>
      <w:pPr>
        <w:pStyle w:val="737"/>
        <w:ind w:left="720" w:hanging="720"/>
      </w:pPr>
    </w:lvl>
    <w:lvl w:ilvl="3">
      <w:start w:val="1"/>
      <w:numFmt w:val="decimal"/>
      <w:pStyle w:val="741"/>
      <w:isLgl w:val="false"/>
      <w:suff w:val="tab"/>
      <w:lvlText w:val="%1.%2.%3.%4."/>
      <w:lvlJc w:val="left"/>
      <w:pPr>
        <w:pStyle w:val="737"/>
        <w:ind w:left="864" w:hanging="864"/>
      </w:pPr>
    </w:lvl>
    <w:lvl w:ilvl="4">
      <w:start w:val="1"/>
      <w:numFmt w:val="decimal"/>
      <w:isLgl w:val="false"/>
      <w:suff w:val="tab"/>
      <w:lvlText w:val="%1.%2.%3.%4.%5."/>
      <w:lvlJc w:val="left"/>
      <w:pPr>
        <w:pStyle w:val="737"/>
        <w:ind w:left="1008" w:hanging="1008"/>
      </w:pPr>
    </w:lvl>
    <w:lvl w:ilvl="5">
      <w:start w:val="1"/>
      <w:numFmt w:val="decimal"/>
      <w:isLgl w:val="false"/>
      <w:suff w:val="tab"/>
      <w:lvlText w:val="%1.%2.%3.%4.%5.%6."/>
      <w:lvlJc w:val="left"/>
      <w:pPr>
        <w:pStyle w:val="737"/>
        <w:ind w:left="1151" w:hanging="1151"/>
      </w:pPr>
    </w:lvl>
    <w:lvl w:ilvl="6">
      <w:start w:val="1"/>
      <w:numFmt w:val="decimal"/>
      <w:isLgl w:val="false"/>
      <w:suff w:val="tab"/>
      <w:lvlText w:val="%1.%2.%3.%4.%5.%6.%7."/>
      <w:lvlJc w:val="left"/>
      <w:pPr>
        <w:pStyle w:val="737"/>
        <w:ind w:left="1296" w:hanging="1296"/>
      </w:pPr>
    </w:lvl>
    <w:lvl w:ilvl="7">
      <w:start w:val="1"/>
      <w:numFmt w:val="decimal"/>
      <w:isLgl w:val="false"/>
      <w:suff w:val="tab"/>
      <w:lvlText w:val="%1.%2.%3.%4.%5.%6.%7.%8."/>
      <w:lvlJc w:val="left"/>
      <w:pPr>
        <w:pStyle w:val="737"/>
        <w:ind w:left="1440" w:hanging="1440"/>
      </w:pPr>
    </w:lvl>
    <w:lvl w:ilvl="8">
      <w:start w:val="1"/>
      <w:numFmt w:val="decimal"/>
      <w:isLgl w:val="false"/>
      <w:suff w:val="tab"/>
      <w:lvlText w:val="%1.%2.%3.%4.%5.%6.%7.%8.%9."/>
      <w:lvlJc w:val="left"/>
      <w:pPr>
        <w:pStyle w:val="737"/>
        <w:ind w:left="1583" w:hanging="1583"/>
      </w:pPr>
    </w:lvl>
  </w:abstractNum>
  <w:abstractNum w:abstractNumId="4">
    <w:multiLevelType w:val="hybridMultilevel"/>
    <w:lvl w:ilvl="0">
      <w:start w:val="1"/>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第%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pStyle w:val="737"/>
        <w:ind w:left="1000" w:hanging="440"/>
      </w:pPr>
      <w:rPr>
        <w:rFonts w:ascii="Wingdings" w:hAnsi="Wingdings"/>
      </w:rPr>
    </w:lvl>
    <w:lvl w:ilvl="1">
      <w:start w:val="1"/>
      <w:numFmt w:val="bullet"/>
      <w:isLgl w:val="false"/>
      <w:suff w:val="tab"/>
      <w:lvlText w:val=""/>
      <w:lvlJc w:val="left"/>
      <w:pPr>
        <w:pStyle w:val="737"/>
        <w:ind w:left="1440" w:hanging="440"/>
      </w:pPr>
      <w:rPr>
        <w:rFonts w:ascii="Wingdings" w:hAnsi="Wingdings"/>
      </w:rPr>
    </w:lvl>
    <w:lvl w:ilvl="2">
      <w:start w:val="1"/>
      <w:numFmt w:val="bullet"/>
      <w:isLgl w:val="false"/>
      <w:suff w:val="tab"/>
      <w:lvlText w:val=""/>
      <w:lvlJc w:val="left"/>
      <w:pPr>
        <w:pStyle w:val="737"/>
        <w:ind w:left="1880" w:hanging="440"/>
      </w:pPr>
      <w:rPr>
        <w:rFonts w:ascii="Wingdings" w:hAnsi="Wingdings"/>
      </w:rPr>
    </w:lvl>
    <w:lvl w:ilvl="3">
      <w:start w:val="1"/>
      <w:numFmt w:val="bullet"/>
      <w:isLgl w:val="false"/>
      <w:suff w:val="tab"/>
      <w:lvlText w:val=""/>
      <w:lvlJc w:val="left"/>
      <w:pPr>
        <w:pStyle w:val="737"/>
        <w:ind w:left="2320" w:hanging="440"/>
      </w:pPr>
      <w:rPr>
        <w:rFonts w:ascii="Wingdings" w:hAnsi="Wingdings"/>
      </w:rPr>
    </w:lvl>
    <w:lvl w:ilvl="4">
      <w:start w:val="1"/>
      <w:numFmt w:val="bullet"/>
      <w:isLgl w:val="false"/>
      <w:suff w:val="tab"/>
      <w:lvlText w:val=""/>
      <w:lvlJc w:val="left"/>
      <w:pPr>
        <w:pStyle w:val="737"/>
        <w:ind w:left="2760" w:hanging="440"/>
      </w:pPr>
      <w:rPr>
        <w:rFonts w:ascii="Wingdings" w:hAnsi="Wingdings"/>
      </w:rPr>
    </w:lvl>
    <w:lvl w:ilvl="5">
      <w:start w:val="1"/>
      <w:numFmt w:val="bullet"/>
      <w:isLgl w:val="false"/>
      <w:suff w:val="tab"/>
      <w:lvlText w:val=""/>
      <w:lvlJc w:val="left"/>
      <w:pPr>
        <w:pStyle w:val="737"/>
        <w:ind w:left="3200" w:hanging="440"/>
      </w:pPr>
      <w:rPr>
        <w:rFonts w:ascii="Wingdings" w:hAnsi="Wingdings"/>
      </w:rPr>
    </w:lvl>
    <w:lvl w:ilvl="6">
      <w:start w:val="1"/>
      <w:numFmt w:val="bullet"/>
      <w:isLgl w:val="false"/>
      <w:suff w:val="tab"/>
      <w:lvlText w:val=""/>
      <w:lvlJc w:val="left"/>
      <w:pPr>
        <w:pStyle w:val="737"/>
        <w:ind w:left="3640" w:hanging="440"/>
      </w:pPr>
      <w:rPr>
        <w:rFonts w:ascii="Wingdings" w:hAnsi="Wingdings"/>
      </w:rPr>
    </w:lvl>
    <w:lvl w:ilvl="7">
      <w:start w:val="1"/>
      <w:numFmt w:val="bullet"/>
      <w:isLgl w:val="false"/>
      <w:suff w:val="tab"/>
      <w:lvlText w:val=""/>
      <w:lvlJc w:val="left"/>
      <w:pPr>
        <w:pStyle w:val="737"/>
        <w:ind w:left="4080" w:hanging="440"/>
      </w:pPr>
      <w:rPr>
        <w:rFonts w:ascii="Wingdings" w:hAnsi="Wingdings"/>
      </w:rPr>
    </w:lvl>
    <w:lvl w:ilvl="8">
      <w:start w:val="1"/>
      <w:numFmt w:val="bullet"/>
      <w:isLgl w:val="false"/>
      <w:suff w:val="tab"/>
      <w:lvlText w:val=""/>
      <w:lvlJc w:val="left"/>
      <w:pPr>
        <w:pStyle w:val="737"/>
        <w:ind w:left="4520" w:hanging="440"/>
      </w:pPr>
      <w:rPr>
        <w:rFonts w:ascii="Wingdings" w:hAnsi="Wingdings"/>
      </w:rPr>
    </w:lvl>
  </w:abstractNum>
  <w:abstractNum w:abstractNumId="11">
    <w:multiLevelType w:val="hybridMultilevel"/>
    <w:lvl w:ilvl="0">
      <w:start w:val="1"/>
      <w:numFmt w:val="bullet"/>
      <w:isLgl w:val="false"/>
      <w:suff w:val="tab"/>
      <w:lvlText w:val=""/>
      <w:lvlJc w:val="left"/>
      <w:pPr>
        <w:pStyle w:val="737"/>
        <w:ind w:left="1000" w:hanging="440"/>
      </w:pPr>
      <w:rPr>
        <w:rFonts w:ascii="Wingdings" w:hAnsi="Wingdings"/>
      </w:rPr>
    </w:lvl>
    <w:lvl w:ilvl="1">
      <w:start w:val="1"/>
      <w:numFmt w:val="bullet"/>
      <w:isLgl w:val="false"/>
      <w:suff w:val="tab"/>
      <w:lvlText w:val=""/>
      <w:lvlJc w:val="left"/>
      <w:pPr>
        <w:pStyle w:val="737"/>
        <w:ind w:left="1440" w:hanging="440"/>
      </w:pPr>
      <w:rPr>
        <w:rFonts w:ascii="Wingdings" w:hAnsi="Wingdings"/>
      </w:rPr>
    </w:lvl>
    <w:lvl w:ilvl="2">
      <w:start w:val="1"/>
      <w:numFmt w:val="bullet"/>
      <w:isLgl w:val="false"/>
      <w:suff w:val="tab"/>
      <w:lvlText w:val=""/>
      <w:lvlJc w:val="left"/>
      <w:pPr>
        <w:pStyle w:val="737"/>
        <w:ind w:left="1880" w:hanging="440"/>
      </w:pPr>
      <w:rPr>
        <w:rFonts w:ascii="Wingdings" w:hAnsi="Wingdings"/>
      </w:rPr>
    </w:lvl>
    <w:lvl w:ilvl="3">
      <w:start w:val="1"/>
      <w:numFmt w:val="bullet"/>
      <w:isLgl w:val="false"/>
      <w:suff w:val="tab"/>
      <w:lvlText w:val=""/>
      <w:lvlJc w:val="left"/>
      <w:pPr>
        <w:pStyle w:val="737"/>
        <w:ind w:left="2320" w:hanging="440"/>
      </w:pPr>
      <w:rPr>
        <w:rFonts w:ascii="Wingdings" w:hAnsi="Wingdings"/>
      </w:rPr>
    </w:lvl>
    <w:lvl w:ilvl="4">
      <w:start w:val="1"/>
      <w:numFmt w:val="bullet"/>
      <w:isLgl w:val="false"/>
      <w:suff w:val="tab"/>
      <w:lvlText w:val=""/>
      <w:lvlJc w:val="left"/>
      <w:pPr>
        <w:pStyle w:val="737"/>
        <w:ind w:left="2760" w:hanging="440"/>
      </w:pPr>
      <w:rPr>
        <w:rFonts w:ascii="Wingdings" w:hAnsi="Wingdings"/>
      </w:rPr>
    </w:lvl>
    <w:lvl w:ilvl="5">
      <w:start w:val="1"/>
      <w:numFmt w:val="bullet"/>
      <w:isLgl w:val="false"/>
      <w:suff w:val="tab"/>
      <w:lvlText w:val=""/>
      <w:lvlJc w:val="left"/>
      <w:pPr>
        <w:pStyle w:val="737"/>
        <w:ind w:left="3200" w:hanging="440"/>
      </w:pPr>
      <w:rPr>
        <w:rFonts w:ascii="Wingdings" w:hAnsi="Wingdings"/>
      </w:rPr>
    </w:lvl>
    <w:lvl w:ilvl="6">
      <w:start w:val="1"/>
      <w:numFmt w:val="bullet"/>
      <w:isLgl w:val="false"/>
      <w:suff w:val="tab"/>
      <w:lvlText w:val=""/>
      <w:lvlJc w:val="left"/>
      <w:pPr>
        <w:pStyle w:val="737"/>
        <w:ind w:left="3640" w:hanging="440"/>
      </w:pPr>
      <w:rPr>
        <w:rFonts w:ascii="Wingdings" w:hAnsi="Wingdings"/>
      </w:rPr>
    </w:lvl>
    <w:lvl w:ilvl="7">
      <w:start w:val="1"/>
      <w:numFmt w:val="bullet"/>
      <w:isLgl w:val="false"/>
      <w:suff w:val="tab"/>
      <w:lvlText w:val=""/>
      <w:lvlJc w:val="left"/>
      <w:pPr>
        <w:pStyle w:val="737"/>
        <w:ind w:left="4080" w:hanging="440"/>
      </w:pPr>
      <w:rPr>
        <w:rFonts w:ascii="Wingdings" w:hAnsi="Wingdings"/>
      </w:rPr>
    </w:lvl>
    <w:lvl w:ilvl="8">
      <w:start w:val="1"/>
      <w:numFmt w:val="bullet"/>
      <w:isLgl w:val="false"/>
      <w:suff w:val="tab"/>
      <w:lvlText w:val=""/>
      <w:lvlJc w:val="left"/>
      <w:pPr>
        <w:pStyle w:val="737"/>
        <w:ind w:left="4520" w:hanging="440"/>
      </w:pPr>
      <w:rPr>
        <w:rFonts w:ascii="Wingdings" w:hAnsi="Wingdings"/>
      </w:rPr>
    </w:lvl>
  </w:abstractNum>
  <w:abstractNum w:abstractNumId="12">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73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11"/>
  </w:num>
  <w:num w:numId="4">
    <w:abstractNumId w:val="10"/>
  </w:num>
  <w:num w:numId="5">
    <w:abstractNumId w:val="8"/>
  </w:num>
  <w:num w:numId="6">
    <w:abstractNumId w:val="13"/>
  </w:num>
  <w:num w:numId="7">
    <w:abstractNumId w:val="12"/>
  </w:num>
  <w:num w:numId="8">
    <w:abstractNumId w:val="6"/>
  </w:num>
  <w:num w:numId="9">
    <w:abstractNumId w:val="0"/>
  </w:num>
  <w:num w:numId="10">
    <w:abstractNumId w:val="9"/>
  </w:num>
  <w:num w:numId="11">
    <w:abstractNumId w:val="1"/>
  </w:num>
  <w:num w:numId="12">
    <w:abstractNumId w:val="14"/>
  </w:num>
  <w:num w:numId="13">
    <w:abstractNumId w:val="2"/>
  </w:num>
  <w:num w:numId="14">
    <w:abstractNumId w:val="16"/>
  </w:num>
  <w:num w:numId="15">
    <w:abstractNumId w:val="15"/>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List Paragraph"/>
    <w:basedOn w:val="737"/>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737"/>
    <w:next w:val="737"/>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737"/>
    <w:next w:val="737"/>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737"/>
    <w:next w:val="737"/>
    <w:link w:val="693"/>
    <w:uiPriority w:val="29"/>
    <w:qFormat/>
    <w:pPr>
      <w:ind w:left="720" w:right="720"/>
    </w:pPr>
    <w:rPr>
      <w:i/>
    </w:rPr>
  </w:style>
  <w:style w:type="character" w:styleId="693">
    <w:name w:val="Quote Char"/>
    <w:link w:val="692"/>
    <w:uiPriority w:val="29"/>
    <w:rPr>
      <w:i/>
    </w:rPr>
  </w:style>
  <w:style w:type="paragraph" w:styleId="694">
    <w:name w:val="Intense Quote"/>
    <w:basedOn w:val="737"/>
    <w:next w:val="737"/>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737"/>
    <w:link w:val="795"/>
    <w:uiPriority w:val="99"/>
    <w:unhideWhenUsed/>
    <w:pPr>
      <w:spacing w:after="0" w:line="240" w:lineRule="auto"/>
      <w:tabs>
        <w:tab w:val="center" w:pos="7143" w:leader="none"/>
        <w:tab w:val="right" w:pos="14287" w:leader="none"/>
      </w:tabs>
    </w:pPr>
  </w:style>
  <w:style w:type="paragraph" w:styleId="697">
    <w:name w:val="Footer"/>
    <w:basedOn w:val="737"/>
    <w:link w:val="808"/>
    <w:uiPriority w:val="99"/>
    <w:unhideWhenUsed/>
    <w:pPr>
      <w:spacing w:after="0" w:line="240" w:lineRule="auto"/>
      <w:tabs>
        <w:tab w:val="center" w:pos="7143" w:leader="none"/>
        <w:tab w:val="right" w:pos="14287" w:leader="none"/>
      </w:tabs>
    </w:pPr>
  </w:style>
  <w:style w:type="paragraph" w:styleId="698">
    <w:name w:val="Caption"/>
    <w:basedOn w:val="737"/>
    <w:next w:val="737"/>
    <w:uiPriority w:val="35"/>
    <w:semiHidden/>
    <w:unhideWhenUsed/>
    <w:qFormat/>
    <w:pPr>
      <w:spacing w:line="276" w:lineRule="auto"/>
    </w:pPr>
    <w:rPr>
      <w:b/>
      <w:bCs/>
      <w:color w:val="4f81bd" w:themeColor="accent1"/>
      <w:sz w:val="18"/>
      <w:szCs w:val="18"/>
    </w:rPr>
  </w:style>
  <w:style w:type="table" w:styleId="6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Hyperlink"/>
    <w:uiPriority w:val="99"/>
    <w:unhideWhenUsed/>
    <w:rPr>
      <w:color w:val="0000ff" w:themeColor="hyperlink"/>
      <w:u w:val="single"/>
    </w:rPr>
  </w:style>
  <w:style w:type="paragraph" w:styleId="720">
    <w:name w:val="footnote text"/>
    <w:basedOn w:val="737"/>
    <w:link w:val="721"/>
    <w:uiPriority w:val="99"/>
    <w:semiHidden/>
    <w:unhideWhenUsed/>
    <w:pPr>
      <w:spacing w:after="40" w:line="240" w:lineRule="auto"/>
    </w:pPr>
    <w:rPr>
      <w:sz w:val="18"/>
    </w:rPr>
  </w:style>
  <w:style w:type="character" w:styleId="721">
    <w:name w:val="Footnote Text Char"/>
    <w:link w:val="720"/>
    <w:uiPriority w:val="99"/>
    <w:rPr>
      <w:sz w:val="18"/>
    </w:rPr>
  </w:style>
  <w:style w:type="character" w:styleId="722">
    <w:name w:val="footnote reference"/>
    <w:uiPriority w:val="99"/>
    <w:unhideWhenUsed/>
    <w:rPr>
      <w:vertAlign w:val="superscript"/>
    </w:rPr>
  </w:style>
  <w:style w:type="paragraph" w:styleId="723">
    <w:name w:val="endnote text"/>
    <w:basedOn w:val="737"/>
    <w:link w:val="724"/>
    <w:uiPriority w:val="99"/>
    <w:semiHidden/>
    <w:unhideWhenUsed/>
    <w:pPr>
      <w:spacing w:after="0" w:line="240" w:lineRule="auto"/>
    </w:pPr>
    <w:rPr>
      <w:sz w:val="20"/>
    </w:rPr>
  </w:style>
  <w:style w:type="character" w:styleId="724">
    <w:name w:val="Endnote Text Char"/>
    <w:link w:val="723"/>
    <w:uiPriority w:val="99"/>
    <w:rPr>
      <w:sz w:val="20"/>
    </w:rPr>
  </w:style>
  <w:style w:type="character" w:styleId="725">
    <w:name w:val="endnote reference"/>
    <w:uiPriority w:val="99"/>
    <w:semiHidden/>
    <w:unhideWhenUsed/>
    <w:rPr>
      <w:vertAlign w:val="superscript"/>
    </w:rPr>
  </w:style>
  <w:style w:type="paragraph" w:styleId="726">
    <w:name w:val="toc 1"/>
    <w:basedOn w:val="737"/>
    <w:next w:val="737"/>
    <w:uiPriority w:val="39"/>
    <w:unhideWhenUsed/>
    <w:pPr>
      <w:ind w:left="0" w:right="0" w:firstLine="0"/>
      <w:spacing w:after="57"/>
    </w:pPr>
  </w:style>
  <w:style w:type="paragraph" w:styleId="727">
    <w:name w:val="toc 2"/>
    <w:basedOn w:val="737"/>
    <w:next w:val="737"/>
    <w:uiPriority w:val="39"/>
    <w:unhideWhenUsed/>
    <w:pPr>
      <w:ind w:left="283" w:right="0" w:firstLine="0"/>
      <w:spacing w:after="57"/>
    </w:pPr>
  </w:style>
  <w:style w:type="paragraph" w:styleId="728">
    <w:name w:val="toc 3"/>
    <w:basedOn w:val="737"/>
    <w:next w:val="737"/>
    <w:uiPriority w:val="39"/>
    <w:unhideWhenUsed/>
    <w:pPr>
      <w:ind w:left="567" w:right="0" w:firstLine="0"/>
      <w:spacing w:after="57"/>
    </w:pPr>
  </w:style>
  <w:style w:type="paragraph" w:styleId="729">
    <w:name w:val="toc 4"/>
    <w:basedOn w:val="737"/>
    <w:next w:val="737"/>
    <w:uiPriority w:val="39"/>
    <w:unhideWhenUsed/>
    <w:pPr>
      <w:ind w:left="850" w:right="0" w:firstLine="0"/>
      <w:spacing w:after="57"/>
    </w:pPr>
  </w:style>
  <w:style w:type="paragraph" w:styleId="730">
    <w:name w:val="toc 5"/>
    <w:basedOn w:val="737"/>
    <w:next w:val="737"/>
    <w:uiPriority w:val="39"/>
    <w:unhideWhenUsed/>
    <w:pPr>
      <w:ind w:left="1134" w:right="0" w:firstLine="0"/>
      <w:spacing w:after="57"/>
    </w:pPr>
  </w:style>
  <w:style w:type="paragraph" w:styleId="731">
    <w:name w:val="toc 6"/>
    <w:basedOn w:val="737"/>
    <w:next w:val="737"/>
    <w:uiPriority w:val="39"/>
    <w:unhideWhenUsed/>
    <w:pPr>
      <w:ind w:left="1417" w:right="0" w:firstLine="0"/>
      <w:spacing w:after="57"/>
    </w:pPr>
  </w:style>
  <w:style w:type="paragraph" w:styleId="732">
    <w:name w:val="toc 7"/>
    <w:basedOn w:val="737"/>
    <w:next w:val="737"/>
    <w:uiPriority w:val="39"/>
    <w:unhideWhenUsed/>
    <w:pPr>
      <w:ind w:left="1701" w:right="0" w:firstLine="0"/>
      <w:spacing w:after="57"/>
    </w:pPr>
  </w:style>
  <w:style w:type="paragraph" w:styleId="733">
    <w:name w:val="toc 8"/>
    <w:basedOn w:val="737"/>
    <w:next w:val="737"/>
    <w:uiPriority w:val="39"/>
    <w:unhideWhenUsed/>
    <w:pPr>
      <w:ind w:left="1984" w:right="0" w:firstLine="0"/>
      <w:spacing w:after="57"/>
    </w:pPr>
  </w:style>
  <w:style w:type="paragraph" w:styleId="734">
    <w:name w:val="toc 9"/>
    <w:basedOn w:val="737"/>
    <w:next w:val="737"/>
    <w:uiPriority w:val="39"/>
    <w:unhideWhenUsed/>
    <w:pPr>
      <w:ind w:left="2268" w:right="0" w:firstLine="0"/>
      <w:spacing w:after="57"/>
    </w:pPr>
  </w:style>
  <w:style w:type="paragraph" w:styleId="735">
    <w:name w:val="TOC Heading"/>
    <w:uiPriority w:val="39"/>
    <w:unhideWhenUsed/>
  </w:style>
  <w:style w:type="paragraph" w:styleId="736">
    <w:name w:val="table of figures"/>
    <w:basedOn w:val="737"/>
    <w:next w:val="737"/>
    <w:uiPriority w:val="99"/>
    <w:unhideWhenUsed/>
    <w:pPr>
      <w:spacing w:after="0" w:afterAutospacing="0"/>
    </w:pPr>
  </w:style>
  <w:style w:type="paragraph" w:styleId="737" w:default="1">
    <w:name w:val="Normal"/>
    <w:next w:val="744"/>
    <w:link w:val="737"/>
    <w:qFormat/>
    <w:pPr>
      <w:jc w:val="both"/>
      <w:widowControl w:val="off"/>
    </w:pPr>
    <w:rPr>
      <w:rFonts w:ascii="Calibri" w:hAnsi="Calibri" w:eastAsia="Arial" w:cs="Arial"/>
      <w:sz w:val="21"/>
      <w:szCs w:val="24"/>
      <w:lang w:val="en-US" w:eastAsia="zh-CN" w:bidi="ar-SA"/>
    </w:rPr>
  </w:style>
  <w:style w:type="paragraph" w:styleId="738">
    <w:name w:val="标题 1"/>
    <w:basedOn w:val="737"/>
    <w:next w:val="737"/>
    <w:link w:val="737"/>
    <w:qFormat/>
    <w:pPr>
      <w:keepNext/>
      <w:outlineLvl w:val="0"/>
    </w:pPr>
    <w:rPr>
      <w:rFonts w:ascii="楷体_GB2312" w:eastAsia="楷体_GB2312"/>
      <w:sz w:val="28"/>
      <w:szCs w:val="20"/>
    </w:rPr>
  </w:style>
  <w:style w:type="paragraph" w:styleId="739">
    <w:name w:val="标题 2"/>
    <w:basedOn w:val="737"/>
    <w:next w:val="737"/>
    <w:link w:val="737"/>
    <w:qFormat/>
    <w:pPr>
      <w:jc w:val="center"/>
      <w:keepLines/>
      <w:keepNext/>
      <w:spacing w:before="260" w:after="260" w:line="416" w:lineRule="auto"/>
      <w:outlineLvl w:val="1"/>
    </w:pPr>
    <w:rPr>
      <w:rFonts w:ascii="Arial" w:hAnsi="Arial" w:eastAsia="幼圆"/>
      <w:b/>
      <w:sz w:val="44"/>
      <w:szCs w:val="20"/>
    </w:rPr>
  </w:style>
  <w:style w:type="paragraph" w:styleId="740">
    <w:name w:val="标题 3"/>
    <w:basedOn w:val="737"/>
    <w:next w:val="737"/>
    <w:link w:val="737"/>
    <w:qFormat/>
    <w:pPr>
      <w:keepLines/>
      <w:keepNext/>
      <w:spacing w:before="260" w:after="260" w:line="416" w:lineRule="auto"/>
      <w:outlineLvl w:val="2"/>
    </w:pPr>
    <w:rPr>
      <w:b/>
      <w:sz w:val="32"/>
      <w:szCs w:val="20"/>
    </w:rPr>
  </w:style>
  <w:style w:type="paragraph" w:styleId="741">
    <w:name w:val="标题 4"/>
    <w:basedOn w:val="737"/>
    <w:next w:val="737"/>
    <w:link w:val="737"/>
    <w:uiPriority w:val="9"/>
    <w:unhideWhenUsed/>
    <w:qFormat/>
    <w:pPr>
      <w:numPr>
        <w:ilvl w:val="3"/>
        <w:numId w:val="1"/>
      </w:numPr>
      <w:ind w:left="864" w:hanging="864"/>
      <w:keepLines/>
      <w:keepNext/>
      <w:spacing w:before="280" w:beforeAutospacing="0" w:after="290" w:afterAutospacing="0" w:line="372" w:lineRule="auto"/>
      <w:outlineLvl w:val="3"/>
    </w:pPr>
    <w:rPr>
      <w:rFonts w:ascii="Arial" w:hAnsi="Arial" w:eastAsia="黑体"/>
      <w:b/>
      <w:sz w:val="28"/>
    </w:rPr>
  </w:style>
  <w:style w:type="character" w:styleId="742">
    <w:name w:val="默认段落字体"/>
    <w:next w:val="742"/>
    <w:link w:val="737"/>
    <w:uiPriority w:val="1"/>
    <w:unhideWhenUsed/>
  </w:style>
  <w:style w:type="table" w:styleId="743">
    <w:name w:val="普通表格"/>
    <w:next w:val="743"/>
    <w:link w:val="737"/>
    <w:uiPriority w:val="99"/>
    <w:unhideWhenUsed/>
    <w:qFormat/>
    <w:tblPr/>
  </w:style>
  <w:style w:type="paragraph" w:styleId="744">
    <w:name w:val="正文首行缩进 211"/>
    <w:basedOn w:val="745"/>
    <w:next w:val="747"/>
    <w:link w:val="737"/>
    <w:qFormat/>
    <w:pPr>
      <w:ind w:left="420" w:firstLine="420"/>
      <w:spacing w:after="120"/>
    </w:pPr>
    <w:rPr>
      <w:sz w:val="21"/>
      <w:szCs w:val="24"/>
    </w:rPr>
  </w:style>
  <w:style w:type="paragraph" w:styleId="745">
    <w:name w:val="正文文本缩进11"/>
    <w:basedOn w:val="737"/>
    <w:next w:val="746"/>
    <w:link w:val="737"/>
    <w:qFormat/>
    <w:pPr>
      <w:ind w:left="420"/>
      <w:spacing w:after="120"/>
    </w:pPr>
  </w:style>
  <w:style w:type="paragraph" w:styleId="746">
    <w:name w:val="寄信人地址11"/>
    <w:basedOn w:val="737"/>
    <w:next w:val="746"/>
    <w:link w:val="737"/>
    <w:qFormat/>
    <w:rPr>
      <w:rFonts w:ascii="Arial" w:hAnsi="Arial" w:cs="Arial"/>
    </w:rPr>
  </w:style>
  <w:style w:type="paragraph" w:styleId="747">
    <w:name w:val="样式 标题 3 + (中文) 黑体 小四 非加粗 段前: 7.8 磅 段后: 0 磅 行距: 固定值 20 磅_0"/>
    <w:basedOn w:val="737"/>
    <w:next w:val="747"/>
    <w:link w:val="737"/>
    <w:qFormat/>
    <w:pPr>
      <w:keepLines/>
      <w:keepNext/>
      <w:spacing w:line="400" w:lineRule="exact"/>
      <w:outlineLvl w:val="2"/>
    </w:pPr>
    <w:rPr>
      <w:rFonts w:eastAsia="黑体" w:cs="宋体"/>
      <w:szCs w:val="21"/>
    </w:rPr>
  </w:style>
  <w:style w:type="paragraph" w:styleId="748">
    <w:name w:val="目录 7"/>
    <w:basedOn w:val="737"/>
    <w:next w:val="737"/>
    <w:link w:val="737"/>
    <w:uiPriority w:val="39"/>
    <w:unhideWhenUsed/>
    <w:pPr>
      <w:ind w:left="1701" w:right="0" w:firstLine="0"/>
      <w:spacing w:after="57"/>
    </w:pPr>
  </w:style>
  <w:style w:type="paragraph" w:styleId="749">
    <w:name w:val="正文缩进"/>
    <w:basedOn w:val="737"/>
    <w:next w:val="749"/>
    <w:link w:val="737"/>
    <w:qFormat/>
    <w:pPr>
      <w:ind w:firstLine="420"/>
    </w:pPr>
    <w:rPr>
      <w:szCs w:val="20"/>
    </w:rPr>
  </w:style>
  <w:style w:type="paragraph" w:styleId="750">
    <w:name w:val="批注文字"/>
    <w:basedOn w:val="737"/>
    <w:next w:val="750"/>
    <w:link w:val="751"/>
    <w:uiPriority w:val="99"/>
    <w:qFormat/>
    <w:pPr>
      <w:jc w:val="left"/>
    </w:pPr>
  </w:style>
  <w:style w:type="character" w:styleId="751">
    <w:name w:val="批注文字 Char"/>
    <w:next w:val="751"/>
    <w:link w:val="750"/>
    <w:uiPriority w:val="99"/>
    <w:qFormat/>
    <w:rPr>
      <w:rFonts w:ascii="Calibri" w:hAnsi="Calibri" w:eastAsia="Arial" w:cs="Arial"/>
      <w:sz w:val="21"/>
      <w:szCs w:val="24"/>
    </w:rPr>
  </w:style>
  <w:style w:type="paragraph" w:styleId="752">
    <w:name w:val="正文文本"/>
    <w:basedOn w:val="737"/>
    <w:next w:val="753"/>
    <w:link w:val="737"/>
    <w:qFormat/>
    <w:rPr>
      <w:rFonts w:ascii="楷体_GB2312" w:hAnsi="Arial" w:eastAsia="楷体_GB2312"/>
      <w:sz w:val="28"/>
      <w:szCs w:val="20"/>
    </w:rPr>
  </w:style>
  <w:style w:type="paragraph" w:styleId="753">
    <w:name w:val="Default"/>
    <w:next w:val="753"/>
    <w:link w:val="737"/>
    <w:uiPriority w:val="99"/>
    <w:qFormat/>
    <w:pPr>
      <w:widowControl w:val="off"/>
    </w:pPr>
    <w:rPr>
      <w:rFonts w:ascii="Calibri" w:hAnsi="Calibri"/>
      <w:color w:val="000000"/>
      <w:sz w:val="24"/>
      <w:szCs w:val="24"/>
      <w:lang w:val="en-US" w:eastAsia="zh-CN" w:bidi="ar-SA"/>
    </w:rPr>
  </w:style>
  <w:style w:type="paragraph" w:styleId="754">
    <w:name w:val="正文文本缩进"/>
    <w:basedOn w:val="737"/>
    <w:next w:val="754"/>
    <w:link w:val="737"/>
    <w:qFormat/>
    <w:pPr>
      <w:ind w:left="420"/>
      <w:spacing w:after="120"/>
    </w:pPr>
  </w:style>
  <w:style w:type="paragraph" w:styleId="755">
    <w:name w:val="目录 5"/>
    <w:basedOn w:val="737"/>
    <w:next w:val="737"/>
    <w:link w:val="737"/>
    <w:uiPriority w:val="39"/>
    <w:unhideWhenUsed/>
    <w:pPr>
      <w:ind w:left="1134" w:right="0" w:firstLine="0"/>
      <w:spacing w:after="57"/>
    </w:pPr>
  </w:style>
  <w:style w:type="paragraph" w:styleId="756">
    <w:name w:val="目录 3"/>
    <w:basedOn w:val="737"/>
    <w:next w:val="737"/>
    <w:link w:val="737"/>
    <w:uiPriority w:val="39"/>
    <w:unhideWhenUsed/>
    <w:pPr>
      <w:ind w:left="567" w:right="0" w:firstLine="0"/>
      <w:spacing w:after="57"/>
    </w:pPr>
  </w:style>
  <w:style w:type="paragraph" w:styleId="757">
    <w:name w:val="纯文本"/>
    <w:basedOn w:val="737"/>
    <w:next w:val="757"/>
    <w:link w:val="737"/>
    <w:qFormat/>
    <w:rPr>
      <w:rFonts w:ascii="宋体" w:hAnsi="Courier New"/>
      <w:szCs w:val="20"/>
    </w:rPr>
  </w:style>
  <w:style w:type="paragraph" w:styleId="758">
    <w:name w:val="目录 8"/>
    <w:basedOn w:val="737"/>
    <w:next w:val="737"/>
    <w:link w:val="737"/>
    <w:uiPriority w:val="39"/>
    <w:unhideWhenUsed/>
    <w:pPr>
      <w:ind w:left="1984" w:right="0" w:firstLine="0"/>
      <w:spacing w:after="57"/>
    </w:pPr>
  </w:style>
  <w:style w:type="paragraph" w:styleId="759">
    <w:name w:val="尾注文本"/>
    <w:basedOn w:val="737"/>
    <w:next w:val="759"/>
    <w:link w:val="760"/>
    <w:uiPriority w:val="99"/>
    <w:unhideWhenUsed/>
    <w:pPr>
      <w:spacing w:after="0" w:line="240" w:lineRule="auto"/>
    </w:pPr>
    <w:rPr>
      <w:sz w:val="20"/>
    </w:rPr>
  </w:style>
  <w:style w:type="character" w:styleId="760">
    <w:name w:val="尾注文本 Char"/>
    <w:next w:val="760"/>
    <w:link w:val="759"/>
    <w:uiPriority w:val="99"/>
    <w:rPr>
      <w:sz w:val="20"/>
    </w:rPr>
  </w:style>
  <w:style w:type="paragraph" w:styleId="761">
    <w:name w:val="批注框文本"/>
    <w:basedOn w:val="737"/>
    <w:next w:val="761"/>
    <w:link w:val="762"/>
    <w:qFormat/>
    <w:rPr>
      <w:sz w:val="18"/>
      <w:szCs w:val="18"/>
    </w:rPr>
  </w:style>
  <w:style w:type="character" w:styleId="762">
    <w:name w:val="批注框文本 Char"/>
    <w:next w:val="762"/>
    <w:link w:val="761"/>
    <w:qFormat/>
    <w:rPr>
      <w:rFonts w:ascii="Calibri" w:hAnsi="Calibri" w:eastAsia="Arial" w:cs="Arial"/>
      <w:sz w:val="18"/>
      <w:szCs w:val="18"/>
    </w:rPr>
  </w:style>
  <w:style w:type="paragraph" w:styleId="763">
    <w:name w:val="页脚"/>
    <w:basedOn w:val="737"/>
    <w:next w:val="763"/>
    <w:link w:val="737"/>
    <w:uiPriority w:val="99"/>
    <w:unhideWhenUsed/>
    <w:pPr>
      <w:jc w:val="left"/>
      <w:tabs>
        <w:tab w:val="center" w:pos="4153" w:leader="none"/>
        <w:tab w:val="right" w:pos="8306" w:leader="none"/>
      </w:tabs>
    </w:pPr>
    <w:rPr>
      <w:sz w:val="18"/>
    </w:rPr>
  </w:style>
  <w:style w:type="paragraph" w:styleId="764">
    <w:name w:val="寄信人地址"/>
    <w:basedOn w:val="737"/>
    <w:next w:val="764"/>
    <w:link w:val="737"/>
    <w:qFormat/>
    <w:rPr>
      <w:rFonts w:ascii="Arial" w:hAnsi="Arial"/>
    </w:rPr>
  </w:style>
  <w:style w:type="paragraph" w:styleId="765">
    <w:name w:val="页眉"/>
    <w:basedOn w:val="737"/>
    <w:next w:val="765"/>
    <w:link w:val="766"/>
    <w:uiPriority w:val="99"/>
    <w:unhideWhenUsed/>
    <w:pPr>
      <w:jc w:val="center"/>
      <w:tabs>
        <w:tab w:val="center" w:pos="4153" w:leader="none"/>
        <w:tab w:val="right" w:pos="8306" w:leader="none"/>
      </w:tabs>
    </w:pPr>
    <w:rPr>
      <w:sz w:val="18"/>
      <w:szCs w:val="18"/>
    </w:rPr>
  </w:style>
  <w:style w:type="character" w:styleId="766">
    <w:name w:val="页眉 Char1"/>
    <w:next w:val="766"/>
    <w:link w:val="765"/>
    <w:uiPriority w:val="99"/>
    <w:rPr>
      <w:rFonts w:ascii="Calibri" w:hAnsi="Calibri" w:eastAsia="Arial" w:cs="Arial"/>
      <w:sz w:val="18"/>
      <w:szCs w:val="18"/>
    </w:rPr>
  </w:style>
  <w:style w:type="paragraph" w:styleId="767">
    <w:name w:val="目录 1"/>
    <w:basedOn w:val="737"/>
    <w:next w:val="737"/>
    <w:link w:val="737"/>
    <w:uiPriority w:val="39"/>
    <w:unhideWhenUsed/>
    <w:pPr>
      <w:ind w:left="0" w:right="0" w:firstLine="0"/>
      <w:spacing w:after="57"/>
    </w:pPr>
  </w:style>
  <w:style w:type="paragraph" w:styleId="768">
    <w:name w:val="目录 4"/>
    <w:basedOn w:val="737"/>
    <w:next w:val="737"/>
    <w:link w:val="737"/>
    <w:uiPriority w:val="39"/>
    <w:unhideWhenUsed/>
    <w:pPr>
      <w:ind w:left="850" w:right="0" w:firstLine="0"/>
      <w:spacing w:after="57"/>
    </w:pPr>
  </w:style>
  <w:style w:type="paragraph" w:styleId="769">
    <w:name w:val="副标题"/>
    <w:basedOn w:val="737"/>
    <w:next w:val="737"/>
    <w:link w:val="770"/>
    <w:uiPriority w:val="11"/>
    <w:qFormat/>
    <w:pPr>
      <w:spacing w:before="200" w:after="200"/>
    </w:pPr>
    <w:rPr>
      <w:sz w:val="24"/>
      <w:szCs w:val="24"/>
    </w:rPr>
  </w:style>
  <w:style w:type="character" w:styleId="770">
    <w:name w:val="副标题 Char"/>
    <w:next w:val="770"/>
    <w:link w:val="769"/>
    <w:uiPriority w:val="11"/>
    <w:rPr>
      <w:sz w:val="24"/>
      <w:szCs w:val="24"/>
    </w:rPr>
  </w:style>
  <w:style w:type="paragraph" w:styleId="771">
    <w:name w:val="脚注文本"/>
    <w:basedOn w:val="737"/>
    <w:next w:val="771"/>
    <w:link w:val="772"/>
    <w:uiPriority w:val="99"/>
    <w:unhideWhenUsed/>
    <w:pPr>
      <w:spacing w:after="40" w:line="240" w:lineRule="auto"/>
    </w:pPr>
    <w:rPr>
      <w:sz w:val="18"/>
    </w:rPr>
  </w:style>
  <w:style w:type="character" w:styleId="772">
    <w:name w:val="脚注文本 Char"/>
    <w:next w:val="772"/>
    <w:link w:val="771"/>
    <w:uiPriority w:val="99"/>
    <w:rPr>
      <w:sz w:val="18"/>
    </w:rPr>
  </w:style>
  <w:style w:type="paragraph" w:styleId="773">
    <w:name w:val="目录 6"/>
    <w:basedOn w:val="737"/>
    <w:next w:val="737"/>
    <w:link w:val="737"/>
    <w:uiPriority w:val="39"/>
    <w:unhideWhenUsed/>
    <w:pPr>
      <w:ind w:left="1417" w:right="0" w:firstLine="0"/>
      <w:spacing w:after="57"/>
    </w:pPr>
  </w:style>
  <w:style w:type="paragraph" w:styleId="774">
    <w:name w:val="正文文本缩进 3"/>
    <w:basedOn w:val="737"/>
    <w:next w:val="774"/>
    <w:link w:val="737"/>
    <w:uiPriority w:val="99"/>
    <w:qFormat/>
    <w:pPr>
      <w:ind w:left="2"/>
      <w:spacing w:line="400" w:lineRule="exact"/>
    </w:pPr>
    <w:rPr>
      <w:sz w:val="20"/>
      <w:szCs w:val="20"/>
    </w:rPr>
  </w:style>
  <w:style w:type="paragraph" w:styleId="775">
    <w:name w:val="索引 9"/>
    <w:basedOn w:val="737"/>
    <w:next w:val="737"/>
    <w:link w:val="737"/>
    <w:qFormat/>
    <w:pPr>
      <w:ind w:left="1600"/>
    </w:pPr>
    <w:rPr>
      <w:rFonts w:ascii="Times New Roman" w:hAnsi="Times New Roman"/>
    </w:rPr>
  </w:style>
  <w:style w:type="paragraph" w:styleId="776">
    <w:name w:val="图表目录"/>
    <w:basedOn w:val="737"/>
    <w:next w:val="737"/>
    <w:link w:val="737"/>
    <w:uiPriority w:val="99"/>
    <w:unhideWhenUsed/>
    <w:pPr>
      <w:spacing w:after="0" w:afterAutospacing="0"/>
    </w:pPr>
  </w:style>
  <w:style w:type="paragraph" w:styleId="777">
    <w:name w:val="目录 2"/>
    <w:basedOn w:val="737"/>
    <w:next w:val="737"/>
    <w:link w:val="737"/>
    <w:uiPriority w:val="39"/>
    <w:unhideWhenUsed/>
    <w:pPr>
      <w:ind w:left="283" w:right="0" w:firstLine="0"/>
      <w:spacing w:after="57"/>
    </w:pPr>
  </w:style>
  <w:style w:type="paragraph" w:styleId="778">
    <w:name w:val="目录 9"/>
    <w:basedOn w:val="737"/>
    <w:next w:val="737"/>
    <w:link w:val="737"/>
    <w:uiPriority w:val="39"/>
    <w:unhideWhenUsed/>
    <w:pPr>
      <w:ind w:left="2268" w:right="0" w:firstLine="0"/>
      <w:spacing w:after="57"/>
    </w:pPr>
  </w:style>
  <w:style w:type="paragraph" w:styleId="779">
    <w:name w:val="普通(网站)"/>
    <w:basedOn w:val="737"/>
    <w:next w:val="779"/>
    <w:link w:val="737"/>
    <w:qFormat/>
    <w:pPr>
      <w:jc w:val="left"/>
      <w:spacing w:beforeAutospacing="1" w:afterAutospacing="1"/>
    </w:pPr>
    <w:rPr>
      <w:rFonts w:cs="Times New Roman"/>
      <w:sz w:val="24"/>
    </w:rPr>
  </w:style>
  <w:style w:type="paragraph" w:styleId="780">
    <w:name w:val="标题"/>
    <w:basedOn w:val="737"/>
    <w:next w:val="737"/>
    <w:link w:val="781"/>
    <w:uiPriority w:val="10"/>
    <w:qFormat/>
    <w:pPr>
      <w:contextualSpacing/>
      <w:spacing w:before="300" w:after="200"/>
    </w:pPr>
    <w:rPr>
      <w:sz w:val="48"/>
      <w:szCs w:val="48"/>
    </w:rPr>
  </w:style>
  <w:style w:type="character" w:styleId="781">
    <w:name w:val="标题 Char"/>
    <w:next w:val="781"/>
    <w:link w:val="780"/>
    <w:uiPriority w:val="10"/>
    <w:rPr>
      <w:sz w:val="48"/>
      <w:szCs w:val="48"/>
    </w:rPr>
  </w:style>
  <w:style w:type="paragraph" w:styleId="782">
    <w:name w:val="批注主题"/>
    <w:basedOn w:val="750"/>
    <w:next w:val="750"/>
    <w:link w:val="783"/>
    <w:qFormat/>
    <w:rPr>
      <w:b/>
      <w:bCs/>
    </w:rPr>
  </w:style>
  <w:style w:type="character" w:styleId="783">
    <w:name w:val="批注主题 Char"/>
    <w:next w:val="783"/>
    <w:link w:val="782"/>
    <w:qFormat/>
    <w:rPr>
      <w:rFonts w:ascii="Calibri" w:hAnsi="Calibri" w:eastAsia="Arial" w:cs="Arial"/>
      <w:b/>
      <w:bCs/>
      <w:sz w:val="21"/>
      <w:szCs w:val="24"/>
    </w:rPr>
  </w:style>
  <w:style w:type="paragraph" w:styleId="784">
    <w:name w:val="正文首行缩进"/>
    <w:basedOn w:val="752"/>
    <w:next w:val="784"/>
    <w:link w:val="737"/>
    <w:unhideWhenUsed/>
    <w:qFormat/>
    <w:pPr>
      <w:ind w:firstLine="420"/>
    </w:pPr>
  </w:style>
  <w:style w:type="paragraph" w:styleId="785">
    <w:name w:val="正文首行缩进 2"/>
    <w:basedOn w:val="754"/>
    <w:next w:val="785"/>
    <w:link w:val="737"/>
    <w:qFormat/>
    <w:pPr>
      <w:ind w:left="0" w:firstLine="420"/>
      <w:spacing w:after="0" w:line="360" w:lineRule="auto"/>
    </w:pPr>
    <w:rPr>
      <w:rFonts w:ascii="宋体" w:hAnsi="宋体" w:eastAsia="宋体"/>
      <w:szCs w:val="20"/>
    </w:rPr>
  </w:style>
  <w:style w:type="table" w:styleId="786">
    <w:name w:val="网格型"/>
    <w:basedOn w:val="743"/>
    <w:next w:val="786"/>
    <w:link w:val="737"/>
    <w:uiPriority w:val="59"/>
    <w:qFormat/>
    <w:pPr>
      <w:spacing w:after="0" w:line="240" w:lineRule="auto"/>
    </w:pPr>
    <w:tblPr/>
  </w:style>
  <w:style w:type="character" w:styleId="787">
    <w:name w:val="尾注引用"/>
    <w:next w:val="787"/>
    <w:link w:val="737"/>
    <w:uiPriority w:val="99"/>
    <w:unhideWhenUsed/>
    <w:rPr>
      <w:vertAlign w:val="superscript"/>
    </w:rPr>
  </w:style>
  <w:style w:type="character" w:styleId="788">
    <w:name w:val="超链接"/>
    <w:next w:val="788"/>
    <w:link w:val="737"/>
    <w:uiPriority w:val="99"/>
    <w:unhideWhenUsed/>
    <w:rPr>
      <w:color w:val="0026e5"/>
      <w:u w:val="single"/>
    </w:rPr>
  </w:style>
  <w:style w:type="character" w:styleId="789">
    <w:name w:val="批注引用"/>
    <w:next w:val="789"/>
    <w:link w:val="737"/>
    <w:uiPriority w:val="99"/>
    <w:qFormat/>
    <w:rPr>
      <w:sz w:val="21"/>
      <w:szCs w:val="21"/>
    </w:rPr>
  </w:style>
  <w:style w:type="character" w:styleId="790">
    <w:name w:val="脚注引用"/>
    <w:next w:val="790"/>
    <w:link w:val="737"/>
    <w:uiPriority w:val="99"/>
    <w:unhideWhenUsed/>
    <w:rPr>
      <w:vertAlign w:val="superscript"/>
    </w:rPr>
  </w:style>
  <w:style w:type="paragraph" w:styleId="791">
    <w:name w:val="正文首行缩进11"/>
    <w:basedOn w:val="737"/>
    <w:next w:val="737"/>
    <w:link w:val="737"/>
    <w:uiPriority w:val="99"/>
    <w:unhideWhenUsed/>
    <w:qFormat/>
    <w:pPr>
      <w:ind w:firstLine="420"/>
    </w:pPr>
    <w:rPr>
      <w:rFonts w:ascii="Times New Roman" w:hAnsi="Times New Roman"/>
    </w:rPr>
  </w:style>
  <w:style w:type="character" w:styleId="792">
    <w:name w:val="Footer Char"/>
    <w:next w:val="792"/>
    <w:link w:val="737"/>
    <w:uiPriority w:val="99"/>
  </w:style>
  <w:style w:type="character" w:styleId="793">
    <w:name w:val="无缩进正文 字符"/>
    <w:next w:val="793"/>
    <w:link w:val="794"/>
    <w:qFormat/>
    <w:rPr>
      <w:sz w:val="24"/>
      <w:szCs w:val="22"/>
    </w:rPr>
  </w:style>
  <w:style w:type="paragraph" w:styleId="794">
    <w:name w:val="无缩进正文"/>
    <w:basedOn w:val="737"/>
    <w:next w:val="794"/>
    <w:link w:val="793"/>
    <w:qFormat/>
    <w:pPr>
      <w:spacing w:line="360" w:lineRule="auto"/>
    </w:pPr>
    <w:rPr>
      <w:rFonts w:ascii="Times New Roman" w:hAnsi="Times New Roman" w:eastAsia="宋体" w:cs="Times New Roman"/>
      <w:sz w:val="24"/>
      <w:szCs w:val="22"/>
    </w:rPr>
  </w:style>
  <w:style w:type="character" w:styleId="795">
    <w:name w:val="Header Char"/>
    <w:next w:val="795"/>
    <w:link w:val="737"/>
    <w:uiPriority w:val="99"/>
  </w:style>
  <w:style w:type="character" w:styleId="796">
    <w:name w:val="Heading 7 Char"/>
    <w:next w:val="796"/>
    <w:link w:val="797"/>
    <w:uiPriority w:val="9"/>
    <w:rPr>
      <w:rFonts w:ascii="Arial" w:hAnsi="Arial" w:eastAsia="Arial" w:cs="Arial"/>
      <w:b/>
      <w:bCs/>
      <w:i/>
      <w:iCs/>
      <w:sz w:val="22"/>
      <w:szCs w:val="22"/>
    </w:rPr>
  </w:style>
  <w:style w:type="paragraph" w:styleId="797">
    <w:name w:val="Heading 7"/>
    <w:basedOn w:val="737"/>
    <w:next w:val="737"/>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6 Char"/>
    <w:next w:val="798"/>
    <w:link w:val="799"/>
    <w:uiPriority w:val="9"/>
    <w:rPr>
      <w:rFonts w:ascii="Arial" w:hAnsi="Arial" w:eastAsia="Arial" w:cs="Arial"/>
      <w:b/>
      <w:bCs/>
      <w:sz w:val="22"/>
      <w:szCs w:val="22"/>
    </w:rPr>
  </w:style>
  <w:style w:type="paragraph" w:styleId="799">
    <w:name w:val="Heading 6"/>
    <w:basedOn w:val="737"/>
    <w:next w:val="737"/>
    <w:link w:val="798"/>
    <w:uiPriority w:val="9"/>
    <w:unhideWhenUsed/>
    <w:qFormat/>
    <w:pPr>
      <w:keepLines/>
      <w:keepNext/>
      <w:spacing w:before="320" w:after="200"/>
      <w:outlineLvl w:val="5"/>
    </w:pPr>
    <w:rPr>
      <w:rFonts w:ascii="Arial" w:hAnsi="Arial" w:eastAsia="Arial" w:cs="Arial"/>
      <w:b/>
      <w:bCs/>
      <w:sz w:val="22"/>
      <w:szCs w:val="22"/>
    </w:rPr>
  </w:style>
  <w:style w:type="character" w:styleId="800">
    <w:name w:val="明显引用 Char"/>
    <w:next w:val="800"/>
    <w:link w:val="801"/>
    <w:uiPriority w:val="30"/>
    <w:rPr>
      <w:i/>
    </w:rPr>
  </w:style>
  <w:style w:type="paragraph" w:styleId="801">
    <w:name w:val="明显引用"/>
    <w:basedOn w:val="737"/>
    <w:next w:val="737"/>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Heading 4 Char"/>
    <w:next w:val="802"/>
    <w:link w:val="803"/>
    <w:uiPriority w:val="9"/>
    <w:rPr>
      <w:rFonts w:ascii="Arial" w:hAnsi="Arial" w:eastAsia="Arial" w:cs="Arial"/>
      <w:b/>
      <w:bCs/>
      <w:sz w:val="26"/>
      <w:szCs w:val="26"/>
    </w:rPr>
  </w:style>
  <w:style w:type="paragraph" w:styleId="803">
    <w:name w:val="Heading 4"/>
    <w:basedOn w:val="737"/>
    <w:next w:val="737"/>
    <w:link w:val="802"/>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3 Char"/>
    <w:next w:val="804"/>
    <w:link w:val="805"/>
    <w:uiPriority w:val="9"/>
    <w:rPr>
      <w:rFonts w:ascii="Arial" w:hAnsi="Arial" w:eastAsia="Arial" w:cs="Arial"/>
      <w:sz w:val="30"/>
      <w:szCs w:val="30"/>
    </w:rPr>
  </w:style>
  <w:style w:type="paragraph" w:styleId="805">
    <w:name w:val="Heading 3"/>
    <w:basedOn w:val="737"/>
    <w:next w:val="737"/>
    <w:link w:val="804"/>
    <w:uiPriority w:val="9"/>
    <w:unhideWhenUsed/>
    <w:qFormat/>
    <w:pPr>
      <w:keepLines/>
      <w:keepNext/>
      <w:spacing w:before="320" w:after="200"/>
      <w:outlineLvl w:val="2"/>
    </w:pPr>
    <w:rPr>
      <w:rFonts w:ascii="Arial" w:hAnsi="Arial" w:eastAsia="Arial" w:cs="Arial"/>
      <w:sz w:val="30"/>
      <w:szCs w:val="30"/>
    </w:rPr>
  </w:style>
  <w:style w:type="character" w:styleId="806">
    <w:name w:val="引用 Char"/>
    <w:next w:val="806"/>
    <w:link w:val="807"/>
    <w:uiPriority w:val="29"/>
    <w:rPr>
      <w:i/>
    </w:rPr>
  </w:style>
  <w:style w:type="paragraph" w:styleId="807">
    <w:name w:val="引用"/>
    <w:basedOn w:val="737"/>
    <w:next w:val="737"/>
    <w:link w:val="806"/>
    <w:uiPriority w:val="29"/>
    <w:qFormat/>
    <w:pPr>
      <w:ind w:left="720" w:right="720"/>
    </w:pPr>
    <w:rPr>
      <w:i/>
    </w:rPr>
  </w:style>
  <w:style w:type="character" w:styleId="808">
    <w:name w:val="Caption Char"/>
    <w:next w:val="808"/>
    <w:link w:val="737"/>
    <w:uiPriority w:val="99"/>
  </w:style>
  <w:style w:type="character" w:styleId="809">
    <w:name w:val="Heading 8 Char"/>
    <w:next w:val="809"/>
    <w:link w:val="810"/>
    <w:uiPriority w:val="9"/>
    <w:rPr>
      <w:rFonts w:ascii="Arial" w:hAnsi="Arial" w:eastAsia="Arial" w:cs="Arial"/>
      <w:i/>
      <w:iCs/>
      <w:sz w:val="22"/>
      <w:szCs w:val="22"/>
    </w:rPr>
  </w:style>
  <w:style w:type="paragraph" w:styleId="810">
    <w:name w:val="Heading 8"/>
    <w:basedOn w:val="737"/>
    <w:next w:val="737"/>
    <w:link w:val="809"/>
    <w:uiPriority w:val="9"/>
    <w:unhideWhenUsed/>
    <w:qFormat/>
    <w:pPr>
      <w:keepLines/>
      <w:keepNext/>
      <w:spacing w:before="320" w:after="200"/>
      <w:outlineLvl w:val="7"/>
    </w:pPr>
    <w:rPr>
      <w:rFonts w:ascii="Arial" w:hAnsi="Arial" w:eastAsia="Arial" w:cs="Arial"/>
      <w:i/>
      <w:iCs/>
      <w:sz w:val="22"/>
      <w:szCs w:val="22"/>
    </w:rPr>
  </w:style>
  <w:style w:type="character" w:styleId="811">
    <w:name w:val="Heading 9 Char"/>
    <w:next w:val="811"/>
    <w:link w:val="812"/>
    <w:uiPriority w:val="9"/>
    <w:rPr>
      <w:rFonts w:ascii="Arial" w:hAnsi="Arial" w:eastAsia="Arial" w:cs="Arial"/>
      <w:i/>
      <w:iCs/>
      <w:sz w:val="21"/>
      <w:szCs w:val="21"/>
    </w:rPr>
  </w:style>
  <w:style w:type="paragraph" w:styleId="812">
    <w:name w:val="Heading 9"/>
    <w:basedOn w:val="737"/>
    <w:next w:val="737"/>
    <w:link w:val="811"/>
    <w:uiPriority w:val="9"/>
    <w:unhideWhenUsed/>
    <w:qFormat/>
    <w:pPr>
      <w:keepLines/>
      <w:keepNext/>
      <w:spacing w:before="320" w:after="200"/>
      <w:outlineLvl w:val="8"/>
    </w:pPr>
    <w:rPr>
      <w:rFonts w:ascii="Arial" w:hAnsi="Arial" w:eastAsia="Arial" w:cs="Arial"/>
      <w:i/>
      <w:iCs/>
      <w:sz w:val="21"/>
      <w:szCs w:val="21"/>
    </w:rPr>
  </w:style>
  <w:style w:type="character" w:styleId="813">
    <w:name w:val="页眉 Char"/>
    <w:next w:val="813"/>
    <w:link w:val="814"/>
    <w:qFormat/>
    <w:rPr>
      <w:rFonts w:ascii="Calibri" w:hAnsi="Calibri" w:eastAsia="Arial" w:cs="Arial"/>
      <w:sz w:val="18"/>
      <w:szCs w:val="18"/>
    </w:rPr>
  </w:style>
  <w:style w:type="paragraph" w:styleId="814">
    <w:name w:val="Header1"/>
    <w:basedOn w:val="737"/>
    <w:next w:val="814"/>
    <w:link w:val="813"/>
    <w:qFormat/>
    <w:pPr>
      <w:jc w:val="center"/>
      <w:tabs>
        <w:tab w:val="center" w:pos="4153" w:leader="none"/>
        <w:tab w:val="right" w:pos="8306" w:leader="none"/>
      </w:tabs>
    </w:pPr>
    <w:rPr>
      <w:sz w:val="18"/>
      <w:szCs w:val="18"/>
    </w:rPr>
  </w:style>
  <w:style w:type="character" w:styleId="815">
    <w:name w:val="NormalCharacter1"/>
    <w:next w:val="815"/>
    <w:link w:val="737"/>
    <w:qFormat/>
    <w:rPr>
      <w:rFonts w:ascii="Calibri" w:hAnsi="Calibri" w:eastAsia="Arial" w:cs="Arial"/>
      <w:sz w:val="21"/>
      <w:szCs w:val="24"/>
      <w:lang w:eastAsia="zh-CN"/>
    </w:rPr>
  </w:style>
  <w:style w:type="character" w:styleId="816">
    <w:name w:val="Heading 5 Char"/>
    <w:next w:val="816"/>
    <w:link w:val="817"/>
    <w:uiPriority w:val="9"/>
    <w:rPr>
      <w:rFonts w:ascii="Arial" w:hAnsi="Arial" w:eastAsia="Arial" w:cs="Arial"/>
      <w:b/>
      <w:bCs/>
      <w:sz w:val="24"/>
      <w:szCs w:val="24"/>
    </w:rPr>
  </w:style>
  <w:style w:type="paragraph" w:styleId="817">
    <w:name w:val="Heading 5"/>
    <w:basedOn w:val="737"/>
    <w:next w:val="737"/>
    <w:link w:val="816"/>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2 Char"/>
    <w:next w:val="818"/>
    <w:link w:val="819"/>
    <w:uiPriority w:val="9"/>
    <w:rPr>
      <w:rFonts w:ascii="Arial" w:hAnsi="Arial" w:eastAsia="Arial" w:cs="Arial"/>
      <w:sz w:val="34"/>
    </w:rPr>
  </w:style>
  <w:style w:type="paragraph" w:styleId="819">
    <w:name w:val="Heading 2"/>
    <w:basedOn w:val="737"/>
    <w:next w:val="737"/>
    <w:link w:val="818"/>
    <w:uiPriority w:val="9"/>
    <w:unhideWhenUsed/>
    <w:qFormat/>
    <w:pPr>
      <w:keepLines/>
      <w:keepNext/>
      <w:spacing w:before="360" w:after="200"/>
      <w:outlineLvl w:val="1"/>
    </w:pPr>
    <w:rPr>
      <w:rFonts w:ascii="Arial" w:hAnsi="Arial" w:eastAsia="Arial" w:cs="Arial"/>
      <w:sz w:val="34"/>
    </w:rPr>
  </w:style>
  <w:style w:type="character" w:styleId="820">
    <w:name w:val="Heading 1 Char"/>
    <w:next w:val="820"/>
    <w:link w:val="821"/>
    <w:uiPriority w:val="9"/>
    <w:rPr>
      <w:rFonts w:ascii="Arial" w:hAnsi="Arial" w:eastAsia="Arial" w:cs="Arial"/>
      <w:sz w:val="40"/>
      <w:szCs w:val="40"/>
    </w:rPr>
  </w:style>
  <w:style w:type="paragraph" w:styleId="821">
    <w:name w:val="Heading 1"/>
    <w:basedOn w:val="737"/>
    <w:next w:val="737"/>
    <w:link w:val="820"/>
    <w:uiPriority w:val="9"/>
    <w:qFormat/>
    <w:pPr>
      <w:keepLines/>
      <w:keepNext/>
      <w:spacing w:before="480" w:after="200"/>
      <w:outlineLvl w:val="0"/>
    </w:pPr>
    <w:rPr>
      <w:rFonts w:ascii="Arial" w:hAnsi="Arial" w:eastAsia="Arial" w:cs="Arial"/>
      <w:sz w:val="40"/>
      <w:szCs w:val="40"/>
    </w:rPr>
  </w:style>
  <w:style w:type="paragraph" w:styleId="822">
    <w:name w:val="_正文"/>
    <w:basedOn w:val="737"/>
    <w:next w:val="822"/>
    <w:link w:val="737"/>
    <w:qFormat/>
    <w:pPr>
      <w:ind w:firstLine="560"/>
      <w:jc w:val="left"/>
      <w:spacing w:line="360" w:lineRule="auto"/>
      <w:widowControl/>
    </w:pPr>
    <w:rPr>
      <w:rFonts w:ascii="Times New Roman" w:hAnsi="Times New Roman" w:eastAsia="仿宋" w:cs="Times New Roman"/>
      <w:sz w:val="28"/>
      <w:szCs w:val="24"/>
    </w:rPr>
  </w:style>
  <w:style w:type="paragraph" w:styleId="823">
    <w:name w:val="Caption1"/>
    <w:basedOn w:val="737"/>
    <w:next w:val="737"/>
    <w:link w:val="737"/>
    <w:uiPriority w:val="35"/>
    <w:unhideWhenUsed/>
    <w:qFormat/>
    <w:pPr>
      <w:spacing w:line="276" w:lineRule="auto"/>
    </w:pPr>
    <w:rPr>
      <w:b/>
      <w:bCs/>
      <w:color w:val="4874cb"/>
      <w:sz w:val="18"/>
      <w:szCs w:val="18"/>
    </w:rPr>
  </w:style>
  <w:style w:type="paragraph" w:styleId="824">
    <w:name w:val="Revision"/>
    <w:next w:val="824"/>
    <w:link w:val="737"/>
    <w:uiPriority w:val="99"/>
    <w:unhideWhenUsed/>
    <w:qFormat/>
    <w:rPr>
      <w:rFonts w:ascii="Calibri" w:hAnsi="Calibri" w:eastAsia="Arial" w:cs="Arial"/>
      <w:sz w:val="21"/>
      <w:szCs w:val="24"/>
      <w:lang w:val="en-US" w:eastAsia="zh-CN" w:bidi="ar-SA"/>
    </w:rPr>
  </w:style>
  <w:style w:type="paragraph" w:styleId="825">
    <w:name w:val="正文2"/>
    <w:basedOn w:val="737"/>
    <w:next w:val="825"/>
    <w:link w:val="737"/>
    <w:qFormat/>
    <w:pPr>
      <w:ind w:firstLine="420"/>
      <w:spacing w:line="360" w:lineRule="auto"/>
    </w:pPr>
    <w:rPr>
      <w:rFonts w:ascii="Times New Roman" w:hAnsi="Times New Roman" w:eastAsia="宋体" w:cs="Times New Roman"/>
      <w:sz w:val="28"/>
      <w:szCs w:val="24"/>
    </w:rPr>
  </w:style>
  <w:style w:type="paragraph" w:styleId="826">
    <w:name w:val="列出段落"/>
    <w:basedOn w:val="737"/>
    <w:next w:val="826"/>
    <w:link w:val="737"/>
    <w:uiPriority w:val="34"/>
    <w:qFormat/>
    <w:pPr>
      <w:ind w:firstLine="420"/>
    </w:pPr>
  </w:style>
  <w:style w:type="paragraph" w:styleId="827">
    <w:name w:val="Footer1"/>
    <w:basedOn w:val="737"/>
    <w:next w:val="827"/>
    <w:link w:val="737"/>
    <w:qFormat/>
    <w:pPr>
      <w:jc w:val="left"/>
      <w:tabs>
        <w:tab w:val="center" w:pos="4153" w:leader="none"/>
        <w:tab w:val="right" w:pos="8306" w:leader="none"/>
      </w:tabs>
    </w:pPr>
    <w:rPr>
      <w:sz w:val="18"/>
      <w:szCs w:val="18"/>
    </w:rPr>
  </w:style>
  <w:style w:type="paragraph" w:styleId="828">
    <w:name w:val="页眉1"/>
    <w:basedOn w:val="737"/>
    <w:next w:val="828"/>
    <w:link w:val="737"/>
    <w:qFormat/>
    <w:pPr>
      <w:jc w:val="center"/>
      <w:tabs>
        <w:tab w:val="center" w:pos="4153" w:leader="none"/>
        <w:tab w:val="right" w:pos="8306" w:leader="none"/>
      </w:tabs>
      <w:pBdr>
        <w:bottom w:val="single" w:color="000000" w:sz="6" w:space="1"/>
      </w:pBdr>
    </w:pPr>
    <w:rPr>
      <w:sz w:val="18"/>
      <w:szCs w:val="18"/>
    </w:rPr>
  </w:style>
  <w:style w:type="paragraph" w:styleId="829">
    <w:name w:val="标题 11"/>
    <w:basedOn w:val="737"/>
    <w:next w:val="737"/>
    <w:link w:val="737"/>
    <w:qFormat/>
    <w:pPr>
      <w:jc w:val="center"/>
      <w:keepNext/>
      <w:outlineLvl w:val="0"/>
    </w:pPr>
    <w:rPr>
      <w:rFonts w:ascii="楷体_GB2312" w:eastAsia="楷体_GB2312"/>
      <w:sz w:val="28"/>
      <w:szCs w:val="28"/>
    </w:rPr>
  </w:style>
  <w:style w:type="paragraph" w:styleId="830">
    <w:name w:val="无间隔"/>
    <w:next w:val="830"/>
    <w:link w:val="737"/>
    <w:uiPriority w:val="1"/>
    <w:qFormat/>
    <w:rPr>
      <w:lang w:val="en-US" w:eastAsia="zh-CN" w:bidi="ar-SA"/>
    </w:rPr>
  </w:style>
  <w:style w:type="paragraph" w:styleId="831">
    <w:name w:val="索引 91"/>
    <w:basedOn w:val="737"/>
    <w:next w:val="737"/>
    <w:link w:val="737"/>
    <w:qFormat/>
    <w:pPr>
      <w:ind w:left="1600"/>
    </w:pPr>
    <w:rPr>
      <w:rFonts w:ascii="Times New Roman" w:hAnsi="Times New Roman" w:eastAsia="宋体" w:cs="Times New Roman"/>
    </w:rPr>
  </w:style>
  <w:style w:type="paragraph" w:styleId="832">
    <w:name w:val="TOC 标题"/>
    <w:next w:val="832"/>
    <w:link w:val="737"/>
    <w:uiPriority w:val="39"/>
    <w:qFormat/>
    <w:rPr>
      <w:lang w:val="en-US" w:eastAsia="zh-CN" w:bidi="ar-SA"/>
    </w:rPr>
  </w:style>
  <w:style w:type="paragraph" w:styleId="833">
    <w:name w:val="正文文本11"/>
    <w:basedOn w:val="737"/>
    <w:next w:val="737"/>
    <w:link w:val="737"/>
    <w:qFormat/>
    <w:rPr>
      <w:rFonts w:ascii="宋体" w:hAnsi="宋体"/>
      <w:sz w:val="24"/>
    </w:rPr>
  </w:style>
  <w:style w:type="paragraph" w:styleId="834">
    <w:name w:val="普通(网站)11"/>
    <w:basedOn w:val="737"/>
    <w:next w:val="834"/>
    <w:link w:val="737"/>
    <w:uiPriority w:val="99"/>
    <w:qFormat/>
    <w:pPr>
      <w:jc w:val="left"/>
      <w:spacing w:beforeAutospacing="1" w:afterAutospacing="1"/>
    </w:pPr>
    <w:rPr>
      <w:rFonts w:cs="Times New Roman"/>
      <w:sz w:val="24"/>
    </w:rPr>
  </w:style>
  <w:style w:type="paragraph" w:styleId="835">
    <w:name w:val="Char Char Char Char Char Char Char Char1"/>
    <w:basedOn w:val="737"/>
    <w:next w:val="835"/>
    <w:link w:val="737"/>
    <w:qFormat/>
    <w:pPr>
      <w:jc w:val="left"/>
      <w:spacing w:after="160" w:line="240" w:lineRule="exact"/>
      <w:widowControl/>
    </w:pPr>
    <w:rPr>
      <w:rFonts w:ascii="Verdana" w:hAnsi="Verdana"/>
      <w:sz w:val="20"/>
      <w:szCs w:val="20"/>
      <w:lang w:eastAsia="en-US"/>
    </w:rPr>
  </w:style>
  <w:style w:type="paragraph" w:styleId="836">
    <w:name w:val="TOC 71"/>
    <w:next w:val="737"/>
    <w:link w:val="737"/>
    <w:qFormat/>
    <w:pPr>
      <w:ind w:left="2550"/>
      <w:jc w:val="both"/>
    </w:pPr>
    <w:rPr>
      <w:sz w:val="21"/>
      <w:szCs w:val="22"/>
      <w:lang w:val="en-US" w:eastAsia="zh-CN" w:bidi="ar-SA"/>
    </w:rPr>
  </w:style>
  <w:style w:type="paragraph" w:styleId="837">
    <w:name w:val="普通(网站)1"/>
    <w:basedOn w:val="737"/>
    <w:next w:val="837"/>
    <w:link w:val="737"/>
    <w:qFormat/>
    <w:pPr>
      <w:jc w:val="left"/>
      <w:spacing w:before="100" w:beforeAutospacing="1" w:after="100" w:afterAutospacing="1"/>
      <w:widowControl/>
    </w:pPr>
    <w:rPr>
      <w:rFonts w:ascii="宋体" w:hAnsi="宋体" w:cs="宋体"/>
      <w:sz w:val="24"/>
    </w:rPr>
  </w:style>
  <w:style w:type="paragraph" w:styleId="838">
    <w:name w:val="正文1"/>
    <w:basedOn w:val="737"/>
    <w:next w:val="838"/>
    <w:link w:val="737"/>
    <w:qFormat/>
    <w:pPr>
      <w:ind w:right="-167"/>
      <w:spacing w:line="440" w:lineRule="exact"/>
      <w:widowControl/>
    </w:pPr>
    <w:rPr>
      <w:rFonts w:ascii="Times New Roman" w:hAnsi="Times New Roman" w:eastAsia="宋体" w:cs="Times New Roman"/>
      <w:b/>
    </w:rPr>
  </w:style>
  <w:style w:type="paragraph" w:styleId="839">
    <w:name w:val="国图正文小四"/>
    <w:basedOn w:val="737"/>
    <w:next w:val="839"/>
    <w:link w:val="737"/>
    <w:qFormat/>
    <w:pPr>
      <w:ind w:firstLine="420"/>
      <w:spacing w:line="360" w:lineRule="auto"/>
    </w:pPr>
    <w:rPr>
      <w:rFonts w:ascii="宋体" w:hAnsi="宋体" w:eastAsia="宋体" w:cs="Times New Roman"/>
      <w:sz w:val="24"/>
      <w:szCs w:val="24"/>
    </w:rPr>
  </w:style>
  <w:style w:type="paragraph" w:styleId="840">
    <w:name w:val="文本块1"/>
    <w:basedOn w:val="737"/>
    <w:next w:val="840"/>
    <w:link w:val="737"/>
    <w:uiPriority w:val="99"/>
    <w:qFormat/>
    <w:pPr>
      <w:ind w:left="1440" w:right="1440"/>
      <w:spacing w:after="120"/>
      <w:tabs>
        <w:tab w:val="left" w:pos="9000" w:leader="none"/>
      </w:tabs>
    </w:pPr>
    <w:rPr>
      <w:rFonts w:ascii="Times New Roman" w:hAnsi="Times New Roman"/>
    </w:rPr>
  </w:style>
  <w:style w:type="paragraph" w:styleId="841">
    <w:name w:val="正文首行缩进 21"/>
    <w:basedOn w:val="842"/>
    <w:next w:val="841"/>
    <w:link w:val="737"/>
    <w:qFormat/>
    <w:pPr>
      <w:ind w:firstLine="420"/>
    </w:pPr>
    <w:rPr>
      <w:rFonts w:ascii="宋体" w:eastAsia="宋体"/>
      <w:sz w:val="21"/>
      <w:szCs w:val="20"/>
    </w:rPr>
  </w:style>
  <w:style w:type="paragraph" w:styleId="842">
    <w:name w:val="正文文本缩进1"/>
    <w:basedOn w:val="737"/>
    <w:next w:val="842"/>
    <w:link w:val="737"/>
    <w:qFormat/>
    <w:pPr>
      <w:ind w:firstLine="645"/>
      <w:jc w:val="left"/>
      <w:spacing w:line="360" w:lineRule="auto"/>
    </w:pPr>
    <w:rPr>
      <w:rFonts w:ascii="楷体_GB2312" w:hAnsi="宋体" w:eastAsia="楷体_GB2312" w:cs="宋体"/>
      <w:color w:val="000000"/>
      <w:sz w:val="32"/>
      <w:szCs w:val="32"/>
    </w:rPr>
  </w:style>
  <w:style w:type="table" w:styleId="843">
    <w:name w:val="Bordered &amp; Lined - Accent 6"/>
    <w:basedOn w:val="743"/>
    <w:next w:val="843"/>
    <w:link w:val="737"/>
    <w:uiPriority w:val="99"/>
    <w:pPr>
      <w:spacing w:after="0" w:line="240" w:lineRule="auto"/>
    </w:pPr>
    <w:rPr>
      <w:color w:val="404040"/>
    </w:rPr>
    <w:tblPr/>
  </w:style>
  <w:style w:type="table" w:styleId="844">
    <w:name w:val="List Table 6 Colorful - Accent 3"/>
    <w:basedOn w:val="743"/>
    <w:next w:val="844"/>
    <w:link w:val="737"/>
    <w:uiPriority w:val="99"/>
    <w:pPr>
      <w:spacing w:after="0" w:line="240" w:lineRule="auto"/>
    </w:pPr>
    <w:tblPr/>
  </w:style>
  <w:style w:type="table" w:styleId="845">
    <w:name w:val="Grid Table 5 Dark - Accent 5"/>
    <w:basedOn w:val="743"/>
    <w:next w:val="845"/>
    <w:link w:val="737"/>
    <w:uiPriority w:val="99"/>
    <w:pPr>
      <w:spacing w:after="0" w:line="240" w:lineRule="auto"/>
    </w:pPr>
    <w:tblPr/>
  </w:style>
  <w:style w:type="table" w:styleId="846">
    <w:name w:val="List Table 6 Colorful - Accent 4"/>
    <w:basedOn w:val="743"/>
    <w:next w:val="846"/>
    <w:link w:val="737"/>
    <w:uiPriority w:val="99"/>
    <w:pPr>
      <w:spacing w:after="0" w:line="240" w:lineRule="auto"/>
    </w:pPr>
    <w:tblPr/>
  </w:style>
  <w:style w:type="table" w:styleId="847">
    <w:name w:val="List Table 5 Dark - Accent 6"/>
    <w:basedOn w:val="743"/>
    <w:next w:val="847"/>
    <w:link w:val="737"/>
    <w:uiPriority w:val="99"/>
    <w:pPr>
      <w:spacing w:after="0" w:line="240" w:lineRule="auto"/>
    </w:pPr>
    <w:tblPr/>
  </w:style>
  <w:style w:type="table" w:styleId="848">
    <w:name w:val="Grid Table 7 Colorful - Accent 6"/>
    <w:basedOn w:val="743"/>
    <w:next w:val="848"/>
    <w:link w:val="737"/>
    <w:uiPriority w:val="99"/>
    <w:pPr>
      <w:spacing w:after="0" w:line="240" w:lineRule="auto"/>
    </w:pPr>
    <w:tblPr/>
  </w:style>
  <w:style w:type="table" w:styleId="849">
    <w:name w:val="网格表 4"/>
    <w:basedOn w:val="743"/>
    <w:next w:val="849"/>
    <w:link w:val="737"/>
    <w:uiPriority w:val="59"/>
    <w:pPr>
      <w:spacing w:after="0" w:line="240" w:lineRule="auto"/>
    </w:pPr>
    <w:tblPr/>
  </w:style>
  <w:style w:type="table" w:styleId="850">
    <w:name w:val="Grid Table 3 - Accent 4"/>
    <w:basedOn w:val="743"/>
    <w:next w:val="850"/>
    <w:link w:val="737"/>
    <w:uiPriority w:val="99"/>
    <w:pPr>
      <w:spacing w:after="0" w:line="240" w:lineRule="auto"/>
    </w:pPr>
    <w:tblPr/>
  </w:style>
  <w:style w:type="table" w:styleId="851">
    <w:name w:val="Lined - Accent 2"/>
    <w:basedOn w:val="743"/>
    <w:next w:val="851"/>
    <w:link w:val="737"/>
    <w:uiPriority w:val="99"/>
    <w:pPr>
      <w:spacing w:after="0" w:line="240" w:lineRule="auto"/>
    </w:pPr>
    <w:rPr>
      <w:color w:val="404040"/>
    </w:rPr>
    <w:tblPr/>
  </w:style>
  <w:style w:type="table" w:styleId="852">
    <w:name w:val="网格表 2"/>
    <w:basedOn w:val="743"/>
    <w:next w:val="852"/>
    <w:link w:val="737"/>
    <w:uiPriority w:val="99"/>
    <w:pPr>
      <w:spacing w:after="0" w:line="240" w:lineRule="auto"/>
    </w:pPr>
    <w:tblPr/>
  </w:style>
  <w:style w:type="table" w:styleId="853">
    <w:name w:val="Grid Table 2 - Accent 1"/>
    <w:basedOn w:val="743"/>
    <w:next w:val="853"/>
    <w:link w:val="737"/>
    <w:uiPriority w:val="99"/>
    <w:pPr>
      <w:spacing w:after="0" w:line="240" w:lineRule="auto"/>
    </w:pPr>
    <w:tblPr/>
  </w:style>
  <w:style w:type="table" w:styleId="854">
    <w:name w:val="Lined - Accent 1"/>
    <w:basedOn w:val="743"/>
    <w:next w:val="854"/>
    <w:link w:val="737"/>
    <w:uiPriority w:val="99"/>
    <w:pPr>
      <w:spacing w:after="0" w:line="240" w:lineRule="auto"/>
    </w:pPr>
    <w:rPr>
      <w:color w:val="404040"/>
    </w:rPr>
    <w:tblPr/>
  </w:style>
  <w:style w:type="table" w:styleId="855">
    <w:name w:val="Grid Table 1 Light - Accent 5"/>
    <w:basedOn w:val="743"/>
    <w:next w:val="855"/>
    <w:link w:val="737"/>
    <w:uiPriority w:val="99"/>
    <w:pPr>
      <w:spacing w:after="0" w:line="240" w:lineRule="auto"/>
    </w:pPr>
    <w:tblPr/>
  </w:style>
  <w:style w:type="table" w:styleId="856">
    <w:name w:val="List Table 4 - Accent 1"/>
    <w:basedOn w:val="743"/>
    <w:next w:val="856"/>
    <w:link w:val="737"/>
    <w:uiPriority w:val="99"/>
    <w:pPr>
      <w:spacing w:after="0" w:line="240" w:lineRule="auto"/>
    </w:pPr>
    <w:tblPr/>
  </w:style>
  <w:style w:type="table" w:styleId="857">
    <w:name w:val="Bordered - Accent 4"/>
    <w:basedOn w:val="743"/>
    <w:next w:val="857"/>
    <w:link w:val="737"/>
    <w:uiPriority w:val="99"/>
    <w:pPr>
      <w:spacing w:after="0" w:line="240" w:lineRule="auto"/>
    </w:pPr>
    <w:tblPr/>
  </w:style>
  <w:style w:type="table" w:styleId="858">
    <w:name w:val="Grid Table 5 Dark - Accent 3"/>
    <w:basedOn w:val="743"/>
    <w:next w:val="858"/>
    <w:link w:val="737"/>
    <w:uiPriority w:val="99"/>
    <w:pPr>
      <w:spacing w:after="0" w:line="240" w:lineRule="auto"/>
    </w:pPr>
    <w:tblPr/>
  </w:style>
  <w:style w:type="table" w:styleId="859">
    <w:name w:val="Grid Table 5 Dark- Accent 4"/>
    <w:basedOn w:val="743"/>
    <w:next w:val="859"/>
    <w:link w:val="737"/>
    <w:uiPriority w:val="99"/>
    <w:pPr>
      <w:spacing w:after="0" w:line="240" w:lineRule="auto"/>
    </w:pPr>
    <w:tblPr/>
  </w:style>
  <w:style w:type="table" w:styleId="860">
    <w:name w:val="Grid Table 2 - Accent 6"/>
    <w:basedOn w:val="743"/>
    <w:next w:val="860"/>
    <w:link w:val="737"/>
    <w:uiPriority w:val="99"/>
    <w:pPr>
      <w:spacing w:after="0" w:line="240" w:lineRule="auto"/>
    </w:pPr>
    <w:tblPr/>
  </w:style>
  <w:style w:type="table" w:styleId="861">
    <w:name w:val="Grid Table 6 Colorful - Accent 3"/>
    <w:basedOn w:val="743"/>
    <w:next w:val="861"/>
    <w:link w:val="737"/>
    <w:uiPriority w:val="99"/>
    <w:pPr>
      <w:spacing w:after="0" w:line="240" w:lineRule="auto"/>
    </w:pPr>
    <w:tblPr/>
  </w:style>
  <w:style w:type="table" w:styleId="862">
    <w:name w:val="Grid Table 7 Colorful - Accent 1"/>
    <w:basedOn w:val="743"/>
    <w:next w:val="862"/>
    <w:link w:val="737"/>
    <w:uiPriority w:val="99"/>
    <w:pPr>
      <w:spacing w:after="0" w:line="240" w:lineRule="auto"/>
    </w:pPr>
    <w:tblPr/>
  </w:style>
  <w:style w:type="table" w:styleId="863">
    <w:name w:val="Grid Table 1 Light - Accent 4"/>
    <w:basedOn w:val="743"/>
    <w:next w:val="863"/>
    <w:link w:val="737"/>
    <w:uiPriority w:val="99"/>
    <w:pPr>
      <w:spacing w:after="0" w:line="240" w:lineRule="auto"/>
    </w:pPr>
    <w:tblPr/>
  </w:style>
  <w:style w:type="table" w:styleId="864">
    <w:name w:val="Grid Table 5 Dark- Accent 1"/>
    <w:basedOn w:val="743"/>
    <w:next w:val="864"/>
    <w:link w:val="737"/>
    <w:uiPriority w:val="99"/>
    <w:pPr>
      <w:spacing w:after="0" w:line="240" w:lineRule="auto"/>
    </w:pPr>
    <w:tblPr/>
  </w:style>
  <w:style w:type="table" w:styleId="865">
    <w:name w:val="Grid Table 4 - Accent 3"/>
    <w:basedOn w:val="743"/>
    <w:next w:val="865"/>
    <w:link w:val="737"/>
    <w:uiPriority w:val="59"/>
    <w:pPr>
      <w:spacing w:after="0" w:line="240" w:lineRule="auto"/>
    </w:pPr>
    <w:tblPr/>
  </w:style>
  <w:style w:type="table" w:styleId="866">
    <w:name w:val="Bordered - Accent 3"/>
    <w:basedOn w:val="743"/>
    <w:next w:val="866"/>
    <w:link w:val="737"/>
    <w:uiPriority w:val="99"/>
    <w:pPr>
      <w:spacing w:after="0" w:line="240" w:lineRule="auto"/>
    </w:pPr>
    <w:tblPr/>
  </w:style>
  <w:style w:type="table" w:styleId="867">
    <w:name w:val="Bordered &amp; Lined - Accent 4"/>
    <w:basedOn w:val="743"/>
    <w:next w:val="867"/>
    <w:link w:val="737"/>
    <w:uiPriority w:val="99"/>
    <w:pPr>
      <w:spacing w:after="0" w:line="240" w:lineRule="auto"/>
    </w:pPr>
    <w:rPr>
      <w:color w:val="404040"/>
    </w:rPr>
    <w:tblPr/>
  </w:style>
  <w:style w:type="table" w:styleId="868">
    <w:name w:val="Bordered - Accent 2"/>
    <w:basedOn w:val="743"/>
    <w:next w:val="868"/>
    <w:link w:val="737"/>
    <w:uiPriority w:val="99"/>
    <w:pPr>
      <w:spacing w:after="0" w:line="240" w:lineRule="auto"/>
    </w:pPr>
    <w:tblPr/>
  </w:style>
  <w:style w:type="table" w:styleId="869">
    <w:name w:val="Grid Table 2 - Accent 2"/>
    <w:basedOn w:val="743"/>
    <w:next w:val="869"/>
    <w:link w:val="737"/>
    <w:uiPriority w:val="99"/>
    <w:pPr>
      <w:spacing w:after="0" w:line="240" w:lineRule="auto"/>
    </w:pPr>
    <w:tblPr/>
  </w:style>
  <w:style w:type="table" w:styleId="870">
    <w:name w:val="Bordered &amp; Lined - Accent 2"/>
    <w:basedOn w:val="743"/>
    <w:next w:val="870"/>
    <w:link w:val="737"/>
    <w:uiPriority w:val="99"/>
    <w:pPr>
      <w:spacing w:after="0" w:line="240" w:lineRule="auto"/>
    </w:pPr>
    <w:rPr>
      <w:color w:val="404040"/>
    </w:rPr>
    <w:tblPr/>
  </w:style>
  <w:style w:type="table" w:styleId="871">
    <w:name w:val="List Table 1 Light - Accent 5"/>
    <w:basedOn w:val="743"/>
    <w:next w:val="871"/>
    <w:link w:val="737"/>
    <w:uiPriority w:val="99"/>
    <w:pPr>
      <w:spacing w:after="0" w:line="240" w:lineRule="auto"/>
    </w:pPr>
    <w:tblPr/>
  </w:style>
  <w:style w:type="table" w:styleId="872">
    <w:name w:val="Grid Table 3 - Accent 2"/>
    <w:basedOn w:val="743"/>
    <w:next w:val="872"/>
    <w:link w:val="737"/>
    <w:uiPriority w:val="99"/>
    <w:pPr>
      <w:spacing w:after="0" w:line="240" w:lineRule="auto"/>
    </w:pPr>
    <w:tblPr/>
  </w:style>
  <w:style w:type="table" w:styleId="873">
    <w:name w:val="Lined - Accent"/>
    <w:basedOn w:val="743"/>
    <w:next w:val="873"/>
    <w:link w:val="737"/>
    <w:uiPriority w:val="99"/>
    <w:pPr>
      <w:spacing w:after="0" w:line="240" w:lineRule="auto"/>
    </w:pPr>
    <w:rPr>
      <w:color w:val="404040"/>
    </w:rPr>
    <w:tblPr/>
  </w:style>
  <w:style w:type="table" w:styleId="874">
    <w:name w:val="List Table 3 - Accent 6"/>
    <w:basedOn w:val="743"/>
    <w:next w:val="874"/>
    <w:link w:val="737"/>
    <w:uiPriority w:val="99"/>
    <w:pPr>
      <w:spacing w:after="0" w:line="240" w:lineRule="auto"/>
    </w:pPr>
    <w:tblPr/>
  </w:style>
  <w:style w:type="table" w:styleId="875">
    <w:name w:val="List Table 2 - Accent 3"/>
    <w:basedOn w:val="743"/>
    <w:next w:val="875"/>
    <w:link w:val="737"/>
    <w:uiPriority w:val="99"/>
    <w:pPr>
      <w:spacing w:after="0" w:line="240" w:lineRule="auto"/>
    </w:pPr>
    <w:tblPr/>
  </w:style>
  <w:style w:type="table" w:styleId="876">
    <w:name w:val="List Table 7 Colorful - Accent 3"/>
    <w:basedOn w:val="743"/>
    <w:next w:val="876"/>
    <w:link w:val="737"/>
    <w:uiPriority w:val="99"/>
    <w:pPr>
      <w:spacing w:after="0" w:line="240" w:lineRule="auto"/>
    </w:pPr>
    <w:tblPr/>
  </w:style>
  <w:style w:type="table" w:styleId="877">
    <w:name w:val="List Table 1 Light - Accent 2"/>
    <w:basedOn w:val="743"/>
    <w:next w:val="877"/>
    <w:link w:val="737"/>
    <w:uiPriority w:val="99"/>
    <w:pPr>
      <w:spacing w:after="0" w:line="240" w:lineRule="auto"/>
    </w:pPr>
    <w:tblPr/>
  </w:style>
  <w:style w:type="table" w:styleId="878">
    <w:name w:val="List Table 5 Dark - Accent 2"/>
    <w:basedOn w:val="743"/>
    <w:next w:val="878"/>
    <w:link w:val="737"/>
    <w:uiPriority w:val="99"/>
    <w:pPr>
      <w:spacing w:after="0" w:line="240" w:lineRule="auto"/>
    </w:pPr>
    <w:tblPr/>
  </w:style>
  <w:style w:type="table" w:styleId="879">
    <w:name w:val="Lined - Accent 3"/>
    <w:basedOn w:val="743"/>
    <w:next w:val="879"/>
    <w:link w:val="737"/>
    <w:uiPriority w:val="99"/>
    <w:pPr>
      <w:spacing w:after="0" w:line="240" w:lineRule="auto"/>
    </w:pPr>
    <w:rPr>
      <w:color w:val="404040"/>
    </w:rPr>
    <w:tblPr/>
  </w:style>
  <w:style w:type="table" w:styleId="880">
    <w:name w:val="Grid Table 3 - Accent 3"/>
    <w:basedOn w:val="743"/>
    <w:next w:val="880"/>
    <w:link w:val="737"/>
    <w:uiPriority w:val="99"/>
    <w:pPr>
      <w:spacing w:after="0" w:line="240" w:lineRule="auto"/>
    </w:pPr>
    <w:tblPr/>
  </w:style>
  <w:style w:type="table" w:styleId="881">
    <w:name w:val="Bordered - Accent 6"/>
    <w:basedOn w:val="743"/>
    <w:next w:val="881"/>
    <w:link w:val="737"/>
    <w:uiPriority w:val="99"/>
    <w:pPr>
      <w:spacing w:after="0" w:line="240" w:lineRule="auto"/>
    </w:pPr>
    <w:tblPr/>
  </w:style>
  <w:style w:type="table" w:styleId="882">
    <w:name w:val="List Table 5 Dark - Accent 4"/>
    <w:basedOn w:val="743"/>
    <w:next w:val="882"/>
    <w:link w:val="737"/>
    <w:uiPriority w:val="99"/>
    <w:pPr>
      <w:spacing w:after="0" w:line="240" w:lineRule="auto"/>
    </w:pPr>
    <w:tblPr/>
  </w:style>
  <w:style w:type="table" w:styleId="883">
    <w:name w:val="Grid Table 1 Light - Accent 6"/>
    <w:basedOn w:val="743"/>
    <w:next w:val="883"/>
    <w:link w:val="737"/>
    <w:uiPriority w:val="99"/>
    <w:pPr>
      <w:spacing w:after="0" w:line="240" w:lineRule="auto"/>
    </w:pPr>
    <w:tblPr/>
  </w:style>
  <w:style w:type="table" w:styleId="884">
    <w:name w:val="网格表 7 彩色"/>
    <w:basedOn w:val="743"/>
    <w:next w:val="884"/>
    <w:link w:val="737"/>
    <w:uiPriority w:val="99"/>
    <w:pPr>
      <w:spacing w:after="0" w:line="240" w:lineRule="auto"/>
    </w:pPr>
    <w:tblPr/>
  </w:style>
  <w:style w:type="table" w:styleId="885">
    <w:name w:val="Grid Table 5 Dark - Accent 2"/>
    <w:basedOn w:val="743"/>
    <w:next w:val="885"/>
    <w:link w:val="737"/>
    <w:uiPriority w:val="99"/>
    <w:pPr>
      <w:spacing w:after="0" w:line="240" w:lineRule="auto"/>
    </w:pPr>
    <w:tblPr/>
  </w:style>
  <w:style w:type="table" w:styleId="886">
    <w:name w:val="Bordered - Accent 1"/>
    <w:basedOn w:val="743"/>
    <w:next w:val="886"/>
    <w:link w:val="737"/>
    <w:uiPriority w:val="99"/>
    <w:pPr>
      <w:spacing w:after="0" w:line="240" w:lineRule="auto"/>
    </w:pPr>
    <w:tblPr/>
  </w:style>
  <w:style w:type="table" w:styleId="887">
    <w:name w:val="Table Grid Light"/>
    <w:basedOn w:val="743"/>
    <w:next w:val="887"/>
    <w:link w:val="737"/>
    <w:uiPriority w:val="59"/>
    <w:pPr>
      <w:spacing w:after="0" w:line="240" w:lineRule="auto"/>
    </w:pPr>
    <w:tblPr/>
  </w:style>
  <w:style w:type="table" w:styleId="888">
    <w:name w:val="List Table 1 Light - Accent 6"/>
    <w:basedOn w:val="743"/>
    <w:next w:val="888"/>
    <w:link w:val="737"/>
    <w:uiPriority w:val="99"/>
    <w:pPr>
      <w:spacing w:after="0" w:line="240" w:lineRule="auto"/>
    </w:pPr>
    <w:tblPr/>
  </w:style>
  <w:style w:type="table" w:styleId="889">
    <w:name w:val="List Table 3 - Accent 1"/>
    <w:basedOn w:val="743"/>
    <w:next w:val="889"/>
    <w:link w:val="737"/>
    <w:uiPriority w:val="99"/>
    <w:pPr>
      <w:spacing w:after="0" w:line="240" w:lineRule="auto"/>
    </w:pPr>
    <w:tblPr/>
  </w:style>
  <w:style w:type="table" w:styleId="890">
    <w:name w:val="无格式表格 2"/>
    <w:basedOn w:val="743"/>
    <w:next w:val="890"/>
    <w:link w:val="737"/>
    <w:uiPriority w:val="59"/>
    <w:pPr>
      <w:spacing w:after="0" w:line="240" w:lineRule="auto"/>
    </w:pPr>
    <w:tblPr/>
  </w:style>
  <w:style w:type="table" w:styleId="891">
    <w:name w:val="Bordered - Accent 5"/>
    <w:basedOn w:val="743"/>
    <w:next w:val="891"/>
    <w:link w:val="737"/>
    <w:uiPriority w:val="99"/>
    <w:pPr>
      <w:spacing w:after="0" w:line="240" w:lineRule="auto"/>
    </w:pPr>
    <w:tblPr/>
  </w:style>
  <w:style w:type="table" w:styleId="892">
    <w:name w:val="Lined - Accent 4"/>
    <w:basedOn w:val="743"/>
    <w:next w:val="892"/>
    <w:link w:val="737"/>
    <w:uiPriority w:val="99"/>
    <w:pPr>
      <w:spacing w:after="0" w:line="240" w:lineRule="auto"/>
    </w:pPr>
    <w:rPr>
      <w:color w:val="404040"/>
    </w:rPr>
    <w:tblPr/>
  </w:style>
  <w:style w:type="table" w:styleId="893">
    <w:name w:val="Grid Table 2 - Accent 4"/>
    <w:basedOn w:val="743"/>
    <w:next w:val="893"/>
    <w:link w:val="737"/>
    <w:uiPriority w:val="99"/>
    <w:pPr>
      <w:spacing w:after="0" w:line="240" w:lineRule="auto"/>
    </w:pPr>
    <w:tblPr/>
  </w:style>
  <w:style w:type="table" w:styleId="894">
    <w:name w:val="清单表 4"/>
    <w:basedOn w:val="743"/>
    <w:next w:val="894"/>
    <w:link w:val="737"/>
    <w:uiPriority w:val="99"/>
    <w:pPr>
      <w:spacing w:after="0" w:line="240" w:lineRule="auto"/>
    </w:pPr>
    <w:tblPr/>
  </w:style>
  <w:style w:type="table" w:styleId="895">
    <w:name w:val="List Table 3 - Accent 2"/>
    <w:basedOn w:val="743"/>
    <w:next w:val="895"/>
    <w:link w:val="737"/>
    <w:uiPriority w:val="99"/>
    <w:pPr>
      <w:spacing w:after="0" w:line="240" w:lineRule="auto"/>
    </w:pPr>
    <w:tblPr/>
  </w:style>
  <w:style w:type="table" w:styleId="896">
    <w:name w:val="清单表 6 彩色"/>
    <w:basedOn w:val="743"/>
    <w:next w:val="896"/>
    <w:link w:val="737"/>
    <w:uiPriority w:val="99"/>
    <w:pPr>
      <w:spacing w:after="0" w:line="240" w:lineRule="auto"/>
    </w:pPr>
    <w:tblPr/>
  </w:style>
  <w:style w:type="table" w:styleId="897">
    <w:name w:val="List Table 3 - Accent 3"/>
    <w:basedOn w:val="743"/>
    <w:next w:val="897"/>
    <w:link w:val="737"/>
    <w:uiPriority w:val="99"/>
    <w:pPr>
      <w:spacing w:after="0" w:line="240" w:lineRule="auto"/>
    </w:pPr>
    <w:tblPr/>
  </w:style>
  <w:style w:type="table" w:styleId="898">
    <w:name w:val="List Table 2 - Accent 4"/>
    <w:basedOn w:val="743"/>
    <w:next w:val="898"/>
    <w:link w:val="737"/>
    <w:uiPriority w:val="99"/>
    <w:pPr>
      <w:spacing w:after="0" w:line="240" w:lineRule="auto"/>
    </w:pPr>
    <w:tblPr/>
  </w:style>
  <w:style w:type="table" w:styleId="899">
    <w:name w:val="List Table 6 Colorful - Accent 5"/>
    <w:basedOn w:val="743"/>
    <w:next w:val="899"/>
    <w:link w:val="737"/>
    <w:uiPriority w:val="99"/>
    <w:pPr>
      <w:spacing w:after="0" w:line="240" w:lineRule="auto"/>
    </w:pPr>
    <w:tblPr/>
  </w:style>
  <w:style w:type="table" w:styleId="900">
    <w:name w:val="Grid Table 6 Colorful - Accent 6"/>
    <w:basedOn w:val="743"/>
    <w:next w:val="900"/>
    <w:link w:val="737"/>
    <w:uiPriority w:val="99"/>
    <w:pPr>
      <w:spacing w:after="0" w:line="240" w:lineRule="auto"/>
    </w:pPr>
    <w:tblPr/>
  </w:style>
  <w:style w:type="table" w:styleId="901">
    <w:name w:val="List Table 5 Dark - Accent 5"/>
    <w:basedOn w:val="743"/>
    <w:next w:val="901"/>
    <w:link w:val="737"/>
    <w:uiPriority w:val="99"/>
    <w:pPr>
      <w:spacing w:after="0" w:line="240" w:lineRule="auto"/>
    </w:pPr>
    <w:tblPr/>
  </w:style>
  <w:style w:type="table" w:styleId="902">
    <w:name w:val="清单表 3"/>
    <w:basedOn w:val="743"/>
    <w:next w:val="902"/>
    <w:link w:val="737"/>
    <w:uiPriority w:val="99"/>
    <w:pPr>
      <w:spacing w:after="0" w:line="240" w:lineRule="auto"/>
    </w:pPr>
    <w:tblPr/>
  </w:style>
  <w:style w:type="table" w:styleId="903">
    <w:name w:val="List Table 2 - Accent 2"/>
    <w:basedOn w:val="743"/>
    <w:next w:val="903"/>
    <w:link w:val="737"/>
    <w:uiPriority w:val="99"/>
    <w:pPr>
      <w:spacing w:after="0" w:line="240" w:lineRule="auto"/>
    </w:pPr>
    <w:tblPr/>
  </w:style>
  <w:style w:type="table" w:styleId="904">
    <w:name w:val="Grid Table 6 Colorful - Accent 1"/>
    <w:basedOn w:val="743"/>
    <w:next w:val="904"/>
    <w:link w:val="737"/>
    <w:uiPriority w:val="99"/>
    <w:pPr>
      <w:spacing w:after="0" w:line="240" w:lineRule="auto"/>
    </w:pPr>
    <w:tblPr/>
  </w:style>
  <w:style w:type="table" w:styleId="905">
    <w:name w:val="Grid Table 3 - Accent 1"/>
    <w:basedOn w:val="743"/>
    <w:next w:val="905"/>
    <w:link w:val="737"/>
    <w:uiPriority w:val="99"/>
    <w:pPr>
      <w:spacing w:after="0" w:line="240" w:lineRule="auto"/>
    </w:pPr>
    <w:tblPr/>
  </w:style>
  <w:style w:type="table" w:styleId="906">
    <w:name w:val="Grid Table 7 Colorful - Accent 2"/>
    <w:basedOn w:val="743"/>
    <w:next w:val="906"/>
    <w:link w:val="737"/>
    <w:uiPriority w:val="99"/>
    <w:pPr>
      <w:spacing w:after="0" w:line="240" w:lineRule="auto"/>
    </w:pPr>
    <w:tblPr/>
  </w:style>
  <w:style w:type="table" w:styleId="907">
    <w:name w:val="List Table 7 Colorful - Accent 2"/>
    <w:basedOn w:val="743"/>
    <w:next w:val="907"/>
    <w:link w:val="737"/>
    <w:uiPriority w:val="99"/>
    <w:pPr>
      <w:spacing w:after="0" w:line="240" w:lineRule="auto"/>
    </w:pPr>
    <w:tblPr/>
  </w:style>
  <w:style w:type="table" w:styleId="908">
    <w:name w:val="List Table 3 - Accent 4"/>
    <w:basedOn w:val="743"/>
    <w:next w:val="908"/>
    <w:link w:val="737"/>
    <w:uiPriority w:val="99"/>
    <w:pPr>
      <w:spacing w:after="0" w:line="240" w:lineRule="auto"/>
    </w:pPr>
    <w:tblPr/>
  </w:style>
  <w:style w:type="table" w:styleId="909">
    <w:name w:val="Grid Table 4 - Accent 1"/>
    <w:basedOn w:val="743"/>
    <w:next w:val="909"/>
    <w:link w:val="737"/>
    <w:uiPriority w:val="59"/>
    <w:pPr>
      <w:spacing w:after="0" w:line="240" w:lineRule="auto"/>
    </w:pPr>
    <w:tblPr/>
  </w:style>
  <w:style w:type="table" w:styleId="910">
    <w:name w:val="List Table 6 Colorful - Accent 6"/>
    <w:basedOn w:val="743"/>
    <w:next w:val="910"/>
    <w:link w:val="737"/>
    <w:uiPriority w:val="99"/>
    <w:pPr>
      <w:spacing w:after="0" w:line="240" w:lineRule="auto"/>
    </w:pPr>
    <w:tblPr/>
  </w:style>
  <w:style w:type="table" w:styleId="911">
    <w:name w:val="Grid Table 4 - Accent 4"/>
    <w:basedOn w:val="743"/>
    <w:next w:val="911"/>
    <w:link w:val="737"/>
    <w:uiPriority w:val="59"/>
    <w:pPr>
      <w:spacing w:after="0" w:line="240" w:lineRule="auto"/>
    </w:pPr>
    <w:tblPr/>
  </w:style>
  <w:style w:type="table" w:styleId="912">
    <w:name w:val="List Table 7 Colorful - Accent 5"/>
    <w:basedOn w:val="743"/>
    <w:next w:val="912"/>
    <w:link w:val="737"/>
    <w:uiPriority w:val="99"/>
    <w:pPr>
      <w:spacing w:after="0" w:line="240" w:lineRule="auto"/>
    </w:pPr>
    <w:tblPr/>
  </w:style>
  <w:style w:type="table" w:styleId="913">
    <w:name w:val="无格式表格 4"/>
    <w:basedOn w:val="743"/>
    <w:next w:val="913"/>
    <w:link w:val="737"/>
    <w:uiPriority w:val="99"/>
    <w:pPr>
      <w:spacing w:after="0" w:line="240" w:lineRule="auto"/>
    </w:pPr>
    <w:tblPr/>
  </w:style>
  <w:style w:type="table" w:styleId="914">
    <w:name w:val="Grid Table 4 - Accent 5"/>
    <w:basedOn w:val="743"/>
    <w:next w:val="914"/>
    <w:link w:val="737"/>
    <w:uiPriority w:val="59"/>
    <w:pPr>
      <w:spacing w:after="0" w:line="240" w:lineRule="auto"/>
    </w:pPr>
    <w:tblPr/>
  </w:style>
  <w:style w:type="table" w:styleId="915">
    <w:name w:val="无格式表格 3"/>
    <w:basedOn w:val="743"/>
    <w:next w:val="915"/>
    <w:link w:val="737"/>
    <w:uiPriority w:val="99"/>
    <w:pPr>
      <w:spacing w:after="0" w:line="240" w:lineRule="auto"/>
    </w:pPr>
    <w:tblPr/>
  </w:style>
  <w:style w:type="table" w:styleId="916">
    <w:name w:val="Grid Table 7 Colorful - Accent 3"/>
    <w:basedOn w:val="743"/>
    <w:next w:val="916"/>
    <w:link w:val="737"/>
    <w:uiPriority w:val="99"/>
    <w:pPr>
      <w:spacing w:after="0" w:line="240" w:lineRule="auto"/>
    </w:pPr>
    <w:tblPr/>
  </w:style>
  <w:style w:type="table" w:styleId="917">
    <w:name w:val="无格式表格 1"/>
    <w:basedOn w:val="743"/>
    <w:next w:val="917"/>
    <w:link w:val="737"/>
    <w:uiPriority w:val="59"/>
    <w:pPr>
      <w:spacing w:after="0" w:line="240" w:lineRule="auto"/>
    </w:pPr>
    <w:tblPr/>
  </w:style>
  <w:style w:type="table" w:styleId="918">
    <w:name w:val="Grid Table 1 Light - Accent 3"/>
    <w:basedOn w:val="743"/>
    <w:next w:val="918"/>
    <w:link w:val="737"/>
    <w:uiPriority w:val="99"/>
    <w:pPr>
      <w:spacing w:after="0" w:line="240" w:lineRule="auto"/>
    </w:pPr>
    <w:tblPr/>
  </w:style>
  <w:style w:type="table" w:styleId="919">
    <w:name w:val="List Table 4 - Accent 3"/>
    <w:basedOn w:val="743"/>
    <w:next w:val="919"/>
    <w:link w:val="737"/>
    <w:uiPriority w:val="99"/>
    <w:pPr>
      <w:spacing w:after="0" w:line="240" w:lineRule="auto"/>
    </w:pPr>
    <w:tblPr/>
  </w:style>
  <w:style w:type="table" w:styleId="920">
    <w:name w:val="网格表 6 彩色"/>
    <w:basedOn w:val="743"/>
    <w:next w:val="920"/>
    <w:link w:val="737"/>
    <w:uiPriority w:val="99"/>
    <w:pPr>
      <w:spacing w:after="0" w:line="240" w:lineRule="auto"/>
    </w:pPr>
    <w:tblPr/>
  </w:style>
  <w:style w:type="table" w:styleId="921">
    <w:name w:val="Grid Table 1 Light - Accent 2"/>
    <w:basedOn w:val="743"/>
    <w:next w:val="921"/>
    <w:link w:val="737"/>
    <w:uiPriority w:val="99"/>
    <w:pPr>
      <w:spacing w:after="0" w:line="240" w:lineRule="auto"/>
    </w:pPr>
    <w:tblPr/>
  </w:style>
  <w:style w:type="table" w:styleId="922">
    <w:name w:val="网格表 3"/>
    <w:basedOn w:val="743"/>
    <w:next w:val="922"/>
    <w:link w:val="737"/>
    <w:uiPriority w:val="99"/>
    <w:pPr>
      <w:spacing w:after="0" w:line="240" w:lineRule="auto"/>
    </w:pPr>
    <w:tblPr/>
  </w:style>
  <w:style w:type="table" w:styleId="923">
    <w:name w:val="Grid Table 2 - Accent 3"/>
    <w:basedOn w:val="743"/>
    <w:next w:val="923"/>
    <w:link w:val="737"/>
    <w:uiPriority w:val="99"/>
    <w:pPr>
      <w:spacing w:after="0" w:line="240" w:lineRule="auto"/>
    </w:pPr>
    <w:tblPr/>
  </w:style>
  <w:style w:type="table" w:styleId="924">
    <w:name w:val="List Table 4 - Accent 4"/>
    <w:basedOn w:val="743"/>
    <w:next w:val="924"/>
    <w:link w:val="737"/>
    <w:uiPriority w:val="99"/>
    <w:pPr>
      <w:spacing w:after="0" w:line="240" w:lineRule="auto"/>
    </w:pPr>
    <w:tblPr/>
  </w:style>
  <w:style w:type="table" w:styleId="925">
    <w:name w:val="List Table 2 - Accent 6"/>
    <w:basedOn w:val="743"/>
    <w:next w:val="925"/>
    <w:link w:val="737"/>
    <w:uiPriority w:val="99"/>
    <w:pPr>
      <w:spacing w:after="0" w:line="240" w:lineRule="auto"/>
    </w:pPr>
    <w:tblPr/>
  </w:style>
  <w:style w:type="table" w:styleId="926">
    <w:name w:val="Grid Table 3 - Accent 5"/>
    <w:basedOn w:val="743"/>
    <w:next w:val="926"/>
    <w:link w:val="737"/>
    <w:uiPriority w:val="99"/>
    <w:pPr>
      <w:spacing w:after="0" w:line="240" w:lineRule="auto"/>
    </w:pPr>
    <w:tblPr/>
  </w:style>
  <w:style w:type="table" w:styleId="927">
    <w:name w:val="Grid Table 4 - Accent 2"/>
    <w:basedOn w:val="743"/>
    <w:next w:val="927"/>
    <w:link w:val="737"/>
    <w:uiPriority w:val="59"/>
    <w:pPr>
      <w:spacing w:after="0" w:line="240" w:lineRule="auto"/>
    </w:pPr>
    <w:tblPr/>
  </w:style>
  <w:style w:type="table" w:styleId="928">
    <w:name w:val="Bordered &amp; Lined - Accent 3"/>
    <w:basedOn w:val="743"/>
    <w:next w:val="928"/>
    <w:link w:val="737"/>
    <w:uiPriority w:val="99"/>
    <w:pPr>
      <w:spacing w:after="0" w:line="240" w:lineRule="auto"/>
    </w:pPr>
    <w:rPr>
      <w:color w:val="404040"/>
    </w:rPr>
    <w:tblPr/>
  </w:style>
  <w:style w:type="table" w:styleId="929">
    <w:name w:val="List Table 4 - Accent 6"/>
    <w:basedOn w:val="743"/>
    <w:next w:val="929"/>
    <w:link w:val="737"/>
    <w:uiPriority w:val="99"/>
    <w:pPr>
      <w:spacing w:after="0" w:line="240" w:lineRule="auto"/>
    </w:pPr>
    <w:tblPr/>
  </w:style>
  <w:style w:type="table" w:styleId="930">
    <w:name w:val="清单表 1 浅色"/>
    <w:basedOn w:val="743"/>
    <w:next w:val="930"/>
    <w:link w:val="737"/>
    <w:uiPriority w:val="99"/>
    <w:pPr>
      <w:spacing w:after="0" w:line="240" w:lineRule="auto"/>
    </w:pPr>
    <w:tblPr/>
  </w:style>
  <w:style w:type="table" w:styleId="931">
    <w:name w:val="List Table 3 - Accent 5"/>
    <w:basedOn w:val="743"/>
    <w:next w:val="931"/>
    <w:link w:val="737"/>
    <w:uiPriority w:val="99"/>
    <w:pPr>
      <w:spacing w:after="0" w:line="240" w:lineRule="auto"/>
    </w:pPr>
    <w:tblPr/>
  </w:style>
  <w:style w:type="table" w:styleId="932">
    <w:name w:val="Lined - Accent 5"/>
    <w:basedOn w:val="743"/>
    <w:next w:val="932"/>
    <w:link w:val="737"/>
    <w:uiPriority w:val="99"/>
    <w:pPr>
      <w:spacing w:after="0" w:line="240" w:lineRule="auto"/>
    </w:pPr>
    <w:rPr>
      <w:color w:val="404040"/>
    </w:rPr>
    <w:tblPr/>
  </w:style>
  <w:style w:type="table" w:styleId="933">
    <w:name w:val="List Table 5 Dark - Accent 1"/>
    <w:basedOn w:val="743"/>
    <w:next w:val="933"/>
    <w:link w:val="737"/>
    <w:uiPriority w:val="99"/>
    <w:pPr>
      <w:spacing w:after="0" w:line="240" w:lineRule="auto"/>
    </w:pPr>
    <w:tblPr/>
  </w:style>
  <w:style w:type="table" w:styleId="934">
    <w:name w:val="Grid Table 2 - Accent 5"/>
    <w:basedOn w:val="743"/>
    <w:next w:val="934"/>
    <w:link w:val="737"/>
    <w:uiPriority w:val="99"/>
    <w:pPr>
      <w:spacing w:after="0" w:line="240" w:lineRule="auto"/>
    </w:pPr>
    <w:tblPr/>
  </w:style>
  <w:style w:type="table" w:styleId="935">
    <w:name w:val="Grid Table 4 - Accent 6"/>
    <w:basedOn w:val="743"/>
    <w:next w:val="935"/>
    <w:link w:val="737"/>
    <w:uiPriority w:val="59"/>
    <w:pPr>
      <w:spacing w:after="0" w:line="240" w:lineRule="auto"/>
    </w:pPr>
    <w:tblPr/>
  </w:style>
  <w:style w:type="table" w:styleId="936">
    <w:name w:val="List Table 5 Dark - Accent 3"/>
    <w:basedOn w:val="743"/>
    <w:next w:val="936"/>
    <w:link w:val="737"/>
    <w:uiPriority w:val="99"/>
    <w:pPr>
      <w:spacing w:after="0" w:line="240" w:lineRule="auto"/>
    </w:pPr>
    <w:tblPr/>
  </w:style>
  <w:style w:type="table" w:styleId="937">
    <w:name w:val="网格表 5 深色"/>
    <w:basedOn w:val="743"/>
    <w:next w:val="937"/>
    <w:link w:val="737"/>
    <w:uiPriority w:val="99"/>
    <w:pPr>
      <w:spacing w:after="0" w:line="240" w:lineRule="auto"/>
    </w:pPr>
    <w:tblPr/>
  </w:style>
  <w:style w:type="table" w:styleId="938">
    <w:name w:val="Grid Table 1 Light - Accent 1"/>
    <w:basedOn w:val="743"/>
    <w:next w:val="938"/>
    <w:link w:val="737"/>
    <w:uiPriority w:val="99"/>
    <w:pPr>
      <w:spacing w:after="0" w:line="240" w:lineRule="auto"/>
    </w:pPr>
    <w:tblPr/>
  </w:style>
  <w:style w:type="table" w:styleId="939">
    <w:name w:val="Lined - Accent 6"/>
    <w:basedOn w:val="743"/>
    <w:next w:val="939"/>
    <w:link w:val="737"/>
    <w:uiPriority w:val="99"/>
    <w:pPr>
      <w:spacing w:after="0" w:line="240" w:lineRule="auto"/>
    </w:pPr>
    <w:rPr>
      <w:color w:val="404040"/>
    </w:rPr>
    <w:tblPr/>
  </w:style>
  <w:style w:type="table" w:styleId="940">
    <w:name w:val="List Table 4 - Accent 5"/>
    <w:basedOn w:val="743"/>
    <w:next w:val="940"/>
    <w:link w:val="737"/>
    <w:uiPriority w:val="99"/>
    <w:pPr>
      <w:spacing w:after="0" w:line="240" w:lineRule="auto"/>
    </w:pPr>
    <w:tblPr/>
  </w:style>
  <w:style w:type="table" w:styleId="941">
    <w:name w:val="List Table 4 - Accent 2"/>
    <w:basedOn w:val="743"/>
    <w:next w:val="941"/>
    <w:link w:val="737"/>
    <w:uiPriority w:val="99"/>
    <w:pPr>
      <w:spacing w:after="0" w:line="240" w:lineRule="auto"/>
    </w:pPr>
    <w:tblPr/>
  </w:style>
  <w:style w:type="table" w:styleId="942">
    <w:name w:val="Grid Table 5 Dark - Accent 6"/>
    <w:basedOn w:val="743"/>
    <w:next w:val="942"/>
    <w:link w:val="737"/>
    <w:uiPriority w:val="99"/>
    <w:pPr>
      <w:spacing w:after="0" w:line="240" w:lineRule="auto"/>
    </w:pPr>
    <w:tblPr/>
  </w:style>
  <w:style w:type="table" w:styleId="943">
    <w:name w:val="List Table 7 Colorful - Accent 4"/>
    <w:basedOn w:val="743"/>
    <w:next w:val="943"/>
    <w:link w:val="737"/>
    <w:uiPriority w:val="99"/>
    <w:pPr>
      <w:spacing w:after="0" w:line="240" w:lineRule="auto"/>
    </w:pPr>
    <w:tblPr/>
  </w:style>
  <w:style w:type="table" w:styleId="944">
    <w:name w:val="List Table 2 - Accent 1"/>
    <w:basedOn w:val="743"/>
    <w:next w:val="944"/>
    <w:link w:val="737"/>
    <w:uiPriority w:val="99"/>
    <w:pPr>
      <w:spacing w:after="0" w:line="240" w:lineRule="auto"/>
    </w:pPr>
    <w:tblPr/>
  </w:style>
  <w:style w:type="table" w:styleId="945">
    <w:name w:val="List Table 6 Colorful - Accent 1"/>
    <w:basedOn w:val="743"/>
    <w:next w:val="945"/>
    <w:link w:val="737"/>
    <w:uiPriority w:val="99"/>
    <w:pPr>
      <w:spacing w:after="0" w:line="240" w:lineRule="auto"/>
    </w:pPr>
    <w:tblPr/>
  </w:style>
  <w:style w:type="table" w:styleId="946">
    <w:name w:val="List Table 6 Colorful - Accent 2"/>
    <w:basedOn w:val="743"/>
    <w:next w:val="946"/>
    <w:link w:val="737"/>
    <w:uiPriority w:val="99"/>
    <w:pPr>
      <w:spacing w:after="0" w:line="240" w:lineRule="auto"/>
    </w:pPr>
    <w:tblPr/>
  </w:style>
  <w:style w:type="table" w:styleId="947">
    <w:name w:val="Grid Table 7 Colorful - Accent 4"/>
    <w:basedOn w:val="743"/>
    <w:next w:val="947"/>
    <w:link w:val="737"/>
    <w:uiPriority w:val="99"/>
    <w:pPr>
      <w:spacing w:after="0" w:line="240" w:lineRule="auto"/>
    </w:pPr>
    <w:tblPr/>
  </w:style>
  <w:style w:type="table" w:styleId="948">
    <w:name w:val="Bordered"/>
    <w:basedOn w:val="743"/>
    <w:next w:val="948"/>
    <w:link w:val="737"/>
    <w:uiPriority w:val="99"/>
    <w:pPr>
      <w:spacing w:after="0" w:line="240" w:lineRule="auto"/>
    </w:pPr>
    <w:tblPr/>
  </w:style>
  <w:style w:type="table" w:styleId="949">
    <w:name w:val="清单表 2"/>
    <w:basedOn w:val="743"/>
    <w:next w:val="949"/>
    <w:link w:val="737"/>
    <w:uiPriority w:val="99"/>
    <w:pPr>
      <w:spacing w:after="0" w:line="240" w:lineRule="auto"/>
    </w:pPr>
    <w:tblPr/>
  </w:style>
  <w:style w:type="table" w:styleId="950">
    <w:name w:val="无格式表格 5"/>
    <w:basedOn w:val="743"/>
    <w:next w:val="950"/>
    <w:link w:val="737"/>
    <w:uiPriority w:val="99"/>
    <w:pPr>
      <w:spacing w:after="0" w:line="240" w:lineRule="auto"/>
    </w:pPr>
    <w:tblPr/>
  </w:style>
  <w:style w:type="table" w:styleId="951">
    <w:name w:val="Bordered &amp; Lined - Accent"/>
    <w:basedOn w:val="743"/>
    <w:next w:val="951"/>
    <w:link w:val="737"/>
    <w:uiPriority w:val="99"/>
    <w:pPr>
      <w:spacing w:after="0" w:line="240" w:lineRule="auto"/>
    </w:pPr>
    <w:rPr>
      <w:color w:val="404040"/>
    </w:rPr>
    <w:tblPr/>
  </w:style>
  <w:style w:type="table" w:styleId="952">
    <w:name w:val="List Table 1 Light - Accent 1"/>
    <w:basedOn w:val="743"/>
    <w:next w:val="952"/>
    <w:link w:val="737"/>
    <w:uiPriority w:val="99"/>
    <w:pPr>
      <w:spacing w:after="0" w:line="240" w:lineRule="auto"/>
    </w:pPr>
    <w:tblPr/>
  </w:style>
  <w:style w:type="table" w:styleId="953">
    <w:name w:val="Grid Table 6 Colorful - Accent 2"/>
    <w:basedOn w:val="743"/>
    <w:next w:val="953"/>
    <w:link w:val="737"/>
    <w:uiPriority w:val="99"/>
    <w:pPr>
      <w:spacing w:after="0" w:line="240" w:lineRule="auto"/>
    </w:pPr>
    <w:tblPr/>
  </w:style>
  <w:style w:type="table" w:styleId="954">
    <w:name w:val="Grid Table 7 Colorful - Accent 5"/>
    <w:basedOn w:val="743"/>
    <w:next w:val="954"/>
    <w:link w:val="737"/>
    <w:uiPriority w:val="99"/>
    <w:pPr>
      <w:spacing w:after="0" w:line="240" w:lineRule="auto"/>
    </w:pPr>
    <w:tblPr/>
  </w:style>
  <w:style w:type="table" w:styleId="955">
    <w:name w:val="清单表 5 深色"/>
    <w:basedOn w:val="743"/>
    <w:next w:val="955"/>
    <w:link w:val="737"/>
    <w:uiPriority w:val="99"/>
    <w:pPr>
      <w:spacing w:after="0" w:line="240" w:lineRule="auto"/>
    </w:pPr>
    <w:tblPr/>
  </w:style>
  <w:style w:type="table" w:styleId="956">
    <w:name w:val="Bordered &amp; Lined - Accent 1"/>
    <w:basedOn w:val="743"/>
    <w:next w:val="956"/>
    <w:link w:val="737"/>
    <w:uiPriority w:val="99"/>
    <w:pPr>
      <w:spacing w:after="0" w:line="240" w:lineRule="auto"/>
    </w:pPr>
    <w:rPr>
      <w:color w:val="404040"/>
    </w:rPr>
    <w:tblPr/>
  </w:style>
  <w:style w:type="table" w:styleId="957">
    <w:name w:val="Bordered &amp; Lined - Accent 5"/>
    <w:basedOn w:val="743"/>
    <w:next w:val="957"/>
    <w:link w:val="737"/>
    <w:uiPriority w:val="99"/>
    <w:pPr>
      <w:spacing w:after="0" w:line="240" w:lineRule="auto"/>
    </w:pPr>
    <w:rPr>
      <w:color w:val="404040"/>
    </w:rPr>
    <w:tblPr/>
  </w:style>
  <w:style w:type="table" w:styleId="958">
    <w:name w:val="Grid Table 6 Colorful - Accent 4"/>
    <w:basedOn w:val="743"/>
    <w:next w:val="958"/>
    <w:link w:val="737"/>
    <w:uiPriority w:val="99"/>
    <w:pPr>
      <w:spacing w:after="0" w:line="240" w:lineRule="auto"/>
    </w:pPr>
    <w:tblPr/>
  </w:style>
  <w:style w:type="table" w:styleId="959">
    <w:name w:val="List Table 7 Colorful - Accent 1"/>
    <w:basedOn w:val="743"/>
    <w:next w:val="959"/>
    <w:link w:val="737"/>
    <w:uiPriority w:val="99"/>
    <w:pPr>
      <w:spacing w:after="0" w:line="240" w:lineRule="auto"/>
    </w:pPr>
    <w:tblPr/>
  </w:style>
  <w:style w:type="table" w:styleId="960">
    <w:name w:val="Grid Table 6 Colorful - Accent 5"/>
    <w:basedOn w:val="743"/>
    <w:next w:val="960"/>
    <w:link w:val="737"/>
    <w:uiPriority w:val="99"/>
    <w:pPr>
      <w:spacing w:after="0" w:line="240" w:lineRule="auto"/>
    </w:pPr>
    <w:tblPr/>
  </w:style>
  <w:style w:type="table" w:styleId="961">
    <w:name w:val="List Table 1 Light - Accent 3"/>
    <w:basedOn w:val="743"/>
    <w:next w:val="961"/>
    <w:link w:val="737"/>
    <w:uiPriority w:val="99"/>
    <w:pPr>
      <w:spacing w:after="0" w:line="240" w:lineRule="auto"/>
    </w:pPr>
    <w:tblPr/>
  </w:style>
  <w:style w:type="table" w:styleId="962">
    <w:name w:val="网格表 1 浅色"/>
    <w:basedOn w:val="743"/>
    <w:next w:val="962"/>
    <w:link w:val="737"/>
    <w:uiPriority w:val="99"/>
    <w:pPr>
      <w:spacing w:after="0" w:line="240" w:lineRule="auto"/>
    </w:pPr>
    <w:tblPr/>
  </w:style>
  <w:style w:type="table" w:styleId="963">
    <w:name w:val="List Table 7 Colorful - Accent 6"/>
    <w:basedOn w:val="743"/>
    <w:next w:val="963"/>
    <w:link w:val="737"/>
    <w:uiPriority w:val="99"/>
    <w:pPr>
      <w:spacing w:after="0" w:line="240" w:lineRule="auto"/>
    </w:pPr>
    <w:tblPr/>
  </w:style>
  <w:style w:type="table" w:styleId="964">
    <w:name w:val="List Table 1 Light - Accent 4"/>
    <w:basedOn w:val="743"/>
    <w:next w:val="964"/>
    <w:link w:val="737"/>
    <w:uiPriority w:val="99"/>
    <w:pPr>
      <w:spacing w:after="0" w:line="240" w:lineRule="auto"/>
    </w:pPr>
    <w:tblPr/>
  </w:style>
  <w:style w:type="table" w:styleId="965">
    <w:name w:val="List Table 2 - Accent 5"/>
    <w:basedOn w:val="743"/>
    <w:next w:val="965"/>
    <w:link w:val="737"/>
    <w:uiPriority w:val="99"/>
    <w:pPr>
      <w:spacing w:after="0" w:line="240" w:lineRule="auto"/>
    </w:pPr>
    <w:tblPr/>
  </w:style>
  <w:style w:type="table" w:styleId="966">
    <w:name w:val="清单表 7 彩色"/>
    <w:basedOn w:val="743"/>
    <w:next w:val="966"/>
    <w:link w:val="737"/>
    <w:uiPriority w:val="99"/>
    <w:pPr>
      <w:spacing w:after="0" w:line="240" w:lineRule="auto"/>
    </w:pPr>
    <w:tblPr/>
  </w:style>
  <w:style w:type="table" w:styleId="967">
    <w:name w:val="Grid Table 3 - Accent 6"/>
    <w:basedOn w:val="743"/>
    <w:next w:val="967"/>
    <w:link w:val="737"/>
    <w:uiPriority w:val="99"/>
    <w:pPr>
      <w:spacing w:after="0" w:line="240" w:lineRule="auto"/>
    </w:pPr>
    <w:tblPr/>
  </w:style>
  <w:style w:type="paragraph" w:styleId="968">
    <w:name w:val="1 正文"/>
    <w:basedOn w:val="737"/>
    <w:next w:val="968"/>
    <w:link w:val="737"/>
    <w:qFormat/>
    <w:pPr>
      <w:ind w:firstLine="420"/>
      <w:spacing w:line="360" w:lineRule="auto"/>
    </w:pPr>
    <w:rPr>
      <w:rFonts w:ascii="宋体" w:hAnsi="宋体"/>
    </w:rPr>
  </w:style>
  <w:style w:type="paragraph" w:styleId="969">
    <w:name w:val="01正文"/>
    <w:basedOn w:val="737"/>
    <w:next w:val="969"/>
    <w:link w:val="737"/>
    <w:qFormat/>
    <w:pPr>
      <w:ind w:firstLine="480"/>
      <w:jc w:val="left"/>
      <w:widowControl/>
    </w:pPr>
    <w:rPr>
      <w:rFonts w:ascii="宋体" w:hAnsi="宋体"/>
      <w:szCs w:val="21"/>
    </w:rPr>
  </w:style>
  <w:style w:type="character" w:styleId="970" w:default="1">
    <w:name w:val="Default Paragraph Font"/>
    <w:uiPriority w:val="1"/>
    <w:semiHidden/>
    <w:unhideWhenUsed/>
  </w:style>
  <w:style w:type="numbering" w:styleId="971" w:default="1">
    <w:name w:val="No List"/>
    <w:uiPriority w:val="99"/>
    <w:semiHidden/>
    <w:unhideWhenUsed/>
  </w:style>
  <w:style w:type="table" w:styleId="9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豆豆长</dc:creator>
  <cp:lastModifiedBy>倪兆霞</cp:lastModifiedBy>
  <cp:revision>4</cp:revision>
  <dcterms:created xsi:type="dcterms:W3CDTF">2025-03-19T08:12:00Z</dcterms:created>
  <dcterms:modified xsi:type="dcterms:W3CDTF">2025-12-25T02:03:20Z</dcterms:modified>
</cp:coreProperties>
</file>